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DD0D1">
      <w:pPr>
        <w:shd w:val="clea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p>
    <w:p w14:paraId="39435297">
      <w:pPr>
        <w:shd w:val="clear"/>
        <w:tabs>
          <w:tab w:val="left" w:pos="2410"/>
        </w:tabs>
        <w:autoSpaceDE w:val="0"/>
        <w:autoSpaceDN w:val="0"/>
        <w:adjustRightInd w:val="0"/>
        <w:snapToGrid w:val="0"/>
        <w:spacing w:line="480" w:lineRule="auto"/>
        <w:ind w:firstLine="723" w:firstLineChars="200"/>
        <w:jc w:val="center"/>
        <w:rPr>
          <w:rFonts w:hint="eastAsia" w:ascii="宋体" w:hAnsi="宋体" w:eastAsia="宋体"/>
          <w:b/>
          <w:color w:val="auto"/>
          <w:spacing w:val="20"/>
          <w:kern w:val="0"/>
          <w:sz w:val="32"/>
          <w:szCs w:val="32"/>
          <w:highlight w:val="none"/>
          <w:u w:val="single"/>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rPr>
        <w:t>阜阳市2024-3号项目全过程造价</w:t>
      </w:r>
    </w:p>
    <w:p w14:paraId="67D96DFA">
      <w:pPr>
        <w:shd w:val="clear"/>
        <w:tabs>
          <w:tab w:val="left" w:pos="2410"/>
        </w:tabs>
        <w:autoSpaceDE w:val="0"/>
        <w:autoSpaceDN w:val="0"/>
        <w:adjustRightInd w:val="0"/>
        <w:snapToGrid w:val="0"/>
        <w:spacing w:line="480" w:lineRule="auto"/>
        <w:ind w:firstLine="723" w:firstLineChars="200"/>
        <w:jc w:val="center"/>
        <w:rPr>
          <w:rFonts w:hint="eastAsia" w:ascii="宋体" w:hAnsi="宋体" w:eastAsia="宋体"/>
          <w:b/>
          <w:color w:val="auto"/>
          <w:spacing w:val="20"/>
          <w:kern w:val="0"/>
          <w:sz w:val="32"/>
          <w:szCs w:val="32"/>
          <w:highlight w:val="none"/>
          <w:u w:val="single"/>
        </w:rPr>
      </w:pPr>
      <w:r>
        <w:rPr>
          <w:rFonts w:hint="eastAsia" w:ascii="宋体" w:hAnsi="宋体" w:eastAsia="宋体"/>
          <w:b/>
          <w:color w:val="auto"/>
          <w:spacing w:val="20"/>
          <w:kern w:val="0"/>
          <w:sz w:val="32"/>
          <w:szCs w:val="32"/>
          <w:highlight w:val="none"/>
          <w:u w:val="single"/>
        </w:rPr>
        <w:t>咨询服务项目</w:t>
      </w:r>
    </w:p>
    <w:p w14:paraId="32F7A99E">
      <w:pPr>
        <w:shd w:val="clear"/>
        <w:tabs>
          <w:tab w:val="left" w:pos="2410"/>
        </w:tabs>
        <w:autoSpaceDE w:val="0"/>
        <w:autoSpaceDN w:val="0"/>
        <w:adjustRightInd w:val="0"/>
        <w:snapToGrid w:val="0"/>
        <w:spacing w:line="480" w:lineRule="auto"/>
        <w:ind w:firstLine="723" w:firstLineChars="200"/>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rPr>
        <w:t>FYTC-ZZCZ-2025-003</w:t>
      </w:r>
    </w:p>
    <w:p w14:paraId="05252C32">
      <w:pPr>
        <w:shd w:val="clear"/>
        <w:tabs>
          <w:tab w:val="left" w:pos="2410"/>
        </w:tabs>
        <w:autoSpaceDE w:val="0"/>
        <w:autoSpaceDN w:val="0"/>
        <w:adjustRightInd w:val="0"/>
        <w:snapToGrid w:val="0"/>
        <w:spacing w:line="480" w:lineRule="auto"/>
        <w:ind w:firstLine="723" w:firstLineChars="200"/>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rPr>
        <w:t>阜阳市建投置业有限公司</w:t>
      </w:r>
    </w:p>
    <w:p w14:paraId="54F6D65E">
      <w:pPr>
        <w:shd w:val="clear"/>
        <w:tabs>
          <w:tab w:val="left" w:pos="2410"/>
        </w:tabs>
        <w:autoSpaceDE w:val="0"/>
        <w:autoSpaceDN w:val="0"/>
        <w:adjustRightInd w:val="0"/>
        <w:snapToGrid w:val="0"/>
        <w:spacing w:line="480" w:lineRule="auto"/>
        <w:ind w:firstLine="723" w:firstLineChars="200"/>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rPr>
        <w:t>阜阳市同创投资咨询管理有限公司</w:t>
      </w:r>
    </w:p>
    <w:p w14:paraId="4E97941A">
      <w:pPr>
        <w:pStyle w:val="5"/>
        <w:shd w:val="clear"/>
        <w:rPr>
          <w:rFonts w:ascii="宋体" w:hAnsi="宋体" w:eastAsia="宋体"/>
          <w:color w:val="auto"/>
          <w:sz w:val="44"/>
          <w:szCs w:val="44"/>
          <w:highlight w:val="none"/>
        </w:rPr>
      </w:pPr>
    </w:p>
    <w:p w14:paraId="40E1B757">
      <w:pPr>
        <w:shd w:val="clear"/>
        <w:rPr>
          <w:color w:val="auto"/>
          <w:highlight w:val="none"/>
        </w:rPr>
      </w:pPr>
    </w:p>
    <w:p w14:paraId="2EC7F5DC">
      <w:pPr>
        <w:shd w:val="clear"/>
        <w:tabs>
          <w:tab w:val="left" w:pos="2410"/>
        </w:tabs>
        <w:autoSpaceDE w:val="0"/>
        <w:autoSpaceDN w:val="0"/>
        <w:adjustRightInd w:val="0"/>
        <w:snapToGrid w:val="0"/>
        <w:spacing w:line="360" w:lineRule="auto"/>
        <w:jc w:val="center"/>
        <w:rPr>
          <w:rFonts w:ascii="宋体" w:hAnsi="宋体" w:eastAsia="宋体"/>
          <w:b/>
          <w:color w:val="auto"/>
          <w:sz w:val="36"/>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r>
        <w:rPr>
          <w:rFonts w:hint="eastAsia" w:ascii="宋体" w:hAnsi="宋体" w:eastAsia="宋体"/>
          <w:b/>
          <w:color w:val="auto"/>
          <w:sz w:val="36"/>
          <w:highlight w:val="none"/>
          <w:u w:val="single"/>
        </w:rPr>
        <w:t>2025</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1</w:t>
      </w:r>
      <w:r>
        <w:rPr>
          <w:rFonts w:hint="eastAsia" w:ascii="宋体" w:hAnsi="宋体" w:eastAsia="宋体"/>
          <w:b/>
          <w:color w:val="auto"/>
          <w:sz w:val="36"/>
          <w:highlight w:val="none"/>
        </w:rPr>
        <w:t>月</w:t>
      </w:r>
    </w:p>
    <w:p w14:paraId="5AD388CF">
      <w:pPr>
        <w:shd w:val="clea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4F645211">
      <w:pPr>
        <w:shd w:val="clear"/>
        <w:tabs>
          <w:tab w:val="left" w:pos="2410"/>
        </w:tabs>
        <w:autoSpaceDE w:val="0"/>
        <w:autoSpaceDN w:val="0"/>
        <w:adjustRightInd w:val="0"/>
        <w:snapToGrid w:val="0"/>
        <w:spacing w:line="360" w:lineRule="auto"/>
        <w:jc w:val="center"/>
        <w:rPr>
          <w:rFonts w:ascii="宋体" w:hAnsi="宋体" w:eastAsia="宋体"/>
          <w:b/>
          <w:color w:val="auto"/>
          <w:sz w:val="28"/>
          <w:highlight w:val="none"/>
        </w:rPr>
      </w:pPr>
    </w:p>
    <w:p w14:paraId="0E60FCA1">
      <w:pPr>
        <w:pStyle w:val="18"/>
        <w:shd w:val="clear"/>
        <w:tabs>
          <w:tab w:val="right" w:leader="dot" w:pos="8279"/>
        </w:tabs>
        <w:rPr>
          <w:color w:val="auto"/>
          <w:highlight w:val="none"/>
        </w:rPr>
      </w:pPr>
      <w:r>
        <w:rPr>
          <w:rFonts w:asciiTheme="minorEastAsia" w:hAnsiTheme="minorEastAsia"/>
          <w:b/>
          <w:bCs/>
          <w:color w:val="auto"/>
          <w:sz w:val="24"/>
          <w:szCs w:val="24"/>
          <w:highlight w:val="none"/>
        </w:rPr>
        <w:fldChar w:fldCharType="begin"/>
      </w:r>
      <w:r>
        <w:rPr>
          <w:rFonts w:asciiTheme="minorEastAsia" w:hAnsiTheme="minorEastAsia"/>
          <w:b/>
          <w:bCs/>
          <w:color w:val="auto"/>
          <w:sz w:val="24"/>
          <w:szCs w:val="24"/>
          <w:highlight w:val="none"/>
        </w:rPr>
        <w:instrText xml:space="preserve"> </w:instrText>
      </w:r>
      <w:r>
        <w:rPr>
          <w:rFonts w:hint="eastAsia" w:asciiTheme="minorEastAsia" w:hAnsiTheme="minorEastAsia"/>
          <w:b/>
          <w:bCs/>
          <w:color w:val="auto"/>
          <w:sz w:val="24"/>
          <w:szCs w:val="24"/>
          <w:highlight w:val="none"/>
        </w:rPr>
        <w:instrText xml:space="preserve">TOC \o "1-2" \h \z \u</w:instrText>
      </w:r>
      <w:r>
        <w:rPr>
          <w:rFonts w:asciiTheme="minorEastAsia" w:hAnsiTheme="minorEastAsia"/>
          <w:b/>
          <w:bCs/>
          <w:color w:val="auto"/>
          <w:sz w:val="24"/>
          <w:szCs w:val="24"/>
          <w:highlight w:val="none"/>
        </w:rPr>
        <w:instrText xml:space="preserve"> </w:instrText>
      </w:r>
      <w:r>
        <w:rPr>
          <w:rFonts w:asciiTheme="minorEastAsia" w:hAnsiTheme="minorEastAsia"/>
          <w:b/>
          <w:bCs/>
          <w:color w:val="auto"/>
          <w:sz w:val="24"/>
          <w:szCs w:val="24"/>
          <w:highlight w:val="none"/>
        </w:rPr>
        <w:fldChar w:fldCharType="separate"/>
      </w:r>
      <w:r>
        <w:rPr>
          <w:color w:val="auto"/>
          <w:highlight w:val="none"/>
        </w:rPr>
        <w:fldChar w:fldCharType="begin"/>
      </w:r>
      <w:r>
        <w:rPr>
          <w:color w:val="auto"/>
          <w:highlight w:val="none"/>
        </w:rPr>
        <w:instrText xml:space="preserve"> HYPERLINK \l "_Toc19988" </w:instrText>
      </w:r>
      <w:r>
        <w:rPr>
          <w:color w:val="auto"/>
          <w:highlight w:val="none"/>
        </w:rPr>
        <w:fldChar w:fldCharType="separate"/>
      </w:r>
      <w:r>
        <w:rPr>
          <w:rFonts w:hint="eastAsia" w:asciiTheme="minorEastAsia" w:hAnsiTheme="minorEastAsia"/>
          <w:color w:val="auto"/>
          <w:highlight w:val="none"/>
        </w:rPr>
        <w:t xml:space="preserve">第一章 </w:t>
      </w:r>
      <w:r>
        <w:rPr>
          <w:rFonts w:asciiTheme="minorEastAsia" w:hAnsiTheme="minorEastAsia"/>
          <w:color w:val="auto"/>
          <w:highlight w:val="none"/>
        </w:rPr>
        <w:t xml:space="preserve"> </w:t>
      </w:r>
      <w:r>
        <w:rPr>
          <w:rFonts w:hint="eastAsia" w:asciiTheme="minorEastAsia" w:hAnsiTheme="minorEastAsia"/>
          <w:color w:val="auto"/>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_Toc19988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4E6E3EA">
      <w:pPr>
        <w:pStyle w:val="18"/>
        <w:shd w:val="clear"/>
        <w:tabs>
          <w:tab w:val="right" w:leader="dot" w:pos="8279"/>
        </w:tabs>
        <w:rPr>
          <w:color w:val="auto"/>
          <w:highlight w:val="none"/>
        </w:rPr>
      </w:pPr>
      <w:r>
        <w:rPr>
          <w:color w:val="auto"/>
          <w:highlight w:val="none"/>
        </w:rPr>
        <w:fldChar w:fldCharType="begin"/>
      </w:r>
      <w:r>
        <w:rPr>
          <w:color w:val="auto"/>
          <w:highlight w:val="none"/>
        </w:rPr>
        <w:instrText xml:space="preserve"> HYPERLINK \l "_Toc7162" </w:instrText>
      </w:r>
      <w:r>
        <w:rPr>
          <w:color w:val="auto"/>
          <w:highlight w:val="none"/>
        </w:rPr>
        <w:fldChar w:fldCharType="separate"/>
      </w:r>
      <w:r>
        <w:rPr>
          <w:rFonts w:hint="eastAsia" w:asciiTheme="minorEastAsia" w:hAnsiTheme="minorEastAsia"/>
          <w:color w:val="auto"/>
          <w:highlight w:val="none"/>
        </w:rPr>
        <w:t>第二章</w:t>
      </w:r>
      <w:r>
        <w:rPr>
          <w:rFonts w:asciiTheme="minorEastAsia" w:hAnsiTheme="minorEastAsia"/>
          <w:color w:val="auto"/>
          <w:highlight w:val="none"/>
        </w:rPr>
        <w:t xml:space="preserve"> </w:t>
      </w:r>
      <w:r>
        <w:rPr>
          <w:rFonts w:hint="eastAsia" w:asciiTheme="minorEastAsia" w:hAnsiTheme="minorEastAsia"/>
          <w:color w:val="auto"/>
          <w:highlight w:val="none"/>
        </w:rPr>
        <w:t xml:space="preserve"> 供应商</w:t>
      </w:r>
      <w:r>
        <w:rPr>
          <w:rFonts w:asciiTheme="minorEastAsia" w:hAnsiTheme="minorEastAsia"/>
          <w:color w:val="auto"/>
          <w:highlight w:val="none"/>
        </w:rPr>
        <w:t>须知</w:t>
      </w:r>
      <w:r>
        <w:rPr>
          <w:color w:val="auto"/>
          <w:highlight w:val="none"/>
        </w:rPr>
        <w:tab/>
      </w:r>
      <w:r>
        <w:rPr>
          <w:color w:val="auto"/>
          <w:highlight w:val="none"/>
        </w:rPr>
        <w:fldChar w:fldCharType="begin"/>
      </w:r>
      <w:r>
        <w:rPr>
          <w:color w:val="auto"/>
          <w:highlight w:val="none"/>
        </w:rPr>
        <w:instrText xml:space="preserve"> PAGEREF _Toc7162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0F105E02">
      <w:pPr>
        <w:pStyle w:val="18"/>
        <w:shd w:val="clear"/>
        <w:tabs>
          <w:tab w:val="right" w:leader="dot" w:pos="8279"/>
        </w:tabs>
        <w:rPr>
          <w:color w:val="auto"/>
          <w:highlight w:val="none"/>
        </w:rPr>
      </w:pPr>
      <w:r>
        <w:rPr>
          <w:color w:val="auto"/>
          <w:highlight w:val="none"/>
        </w:rPr>
        <w:fldChar w:fldCharType="begin"/>
      </w:r>
      <w:r>
        <w:rPr>
          <w:color w:val="auto"/>
          <w:highlight w:val="none"/>
        </w:rPr>
        <w:instrText xml:space="preserve"> HYPERLINK \l "_Toc19440" </w:instrText>
      </w:r>
      <w:r>
        <w:rPr>
          <w:color w:val="auto"/>
          <w:highlight w:val="none"/>
        </w:rPr>
        <w:fldChar w:fldCharType="separate"/>
      </w:r>
      <w:r>
        <w:rPr>
          <w:rFonts w:hint="eastAsia" w:asciiTheme="minorEastAsia" w:hAnsiTheme="minorEastAsia"/>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_Toc19440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6B85DFB6">
      <w:pPr>
        <w:pStyle w:val="18"/>
        <w:shd w:val="clear"/>
        <w:tabs>
          <w:tab w:val="right" w:leader="dot" w:pos="8279"/>
        </w:tabs>
        <w:rPr>
          <w:color w:val="auto"/>
          <w:highlight w:val="none"/>
        </w:rPr>
      </w:pPr>
      <w:r>
        <w:rPr>
          <w:color w:val="auto"/>
          <w:highlight w:val="none"/>
        </w:rPr>
        <w:fldChar w:fldCharType="begin"/>
      </w:r>
      <w:r>
        <w:rPr>
          <w:color w:val="auto"/>
          <w:highlight w:val="none"/>
        </w:rPr>
        <w:instrText xml:space="preserve"> HYPERLINK \l "_Toc8668" </w:instrText>
      </w:r>
      <w:r>
        <w:rPr>
          <w:color w:val="auto"/>
          <w:highlight w:val="none"/>
        </w:rPr>
        <w:fldChar w:fldCharType="separate"/>
      </w:r>
      <w:r>
        <w:rPr>
          <w:rFonts w:hint="eastAsia" w:asciiTheme="minorEastAsia" w:hAnsiTheme="minorEastAsia"/>
          <w:color w:val="auto"/>
          <w:highlight w:val="none"/>
        </w:rPr>
        <w:t>第四章  评审方法和标准</w:t>
      </w:r>
      <w:r>
        <w:rPr>
          <w:color w:val="auto"/>
          <w:highlight w:val="none"/>
        </w:rPr>
        <w:tab/>
      </w:r>
      <w:r>
        <w:rPr>
          <w:color w:val="auto"/>
          <w:highlight w:val="none"/>
        </w:rPr>
        <w:fldChar w:fldCharType="begin"/>
      </w:r>
      <w:r>
        <w:rPr>
          <w:color w:val="auto"/>
          <w:highlight w:val="none"/>
        </w:rPr>
        <w:instrText xml:space="preserve"> PAGEREF _Toc8668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67FC0518">
      <w:pPr>
        <w:pStyle w:val="18"/>
        <w:shd w:val="clear"/>
        <w:tabs>
          <w:tab w:val="right" w:leader="dot" w:pos="8279"/>
        </w:tabs>
        <w:rPr>
          <w:color w:val="auto"/>
          <w:highlight w:val="none"/>
        </w:rPr>
      </w:pPr>
      <w:r>
        <w:rPr>
          <w:color w:val="auto"/>
          <w:highlight w:val="none"/>
        </w:rPr>
        <w:fldChar w:fldCharType="begin"/>
      </w:r>
      <w:r>
        <w:rPr>
          <w:color w:val="auto"/>
          <w:highlight w:val="none"/>
        </w:rPr>
        <w:instrText xml:space="preserve"> HYPERLINK \l "_Toc17167" </w:instrText>
      </w:r>
      <w:r>
        <w:rPr>
          <w:color w:val="auto"/>
          <w:highlight w:val="none"/>
        </w:rPr>
        <w:fldChar w:fldCharType="separate"/>
      </w:r>
      <w:r>
        <w:rPr>
          <w:rFonts w:hint="eastAsia" w:asciiTheme="minorEastAsia" w:hAnsiTheme="minorEastAsia"/>
          <w:color w:val="auto"/>
          <w:highlight w:val="none"/>
        </w:rPr>
        <w:t xml:space="preserve">第五章  </w:t>
      </w:r>
      <w:r>
        <w:rPr>
          <w:rFonts w:asciiTheme="minorEastAsia" w:hAnsiTheme="minorEastAsia"/>
          <w:color w:val="auto"/>
          <w:highlight w:val="none"/>
        </w:rPr>
        <w:t>采购合同</w:t>
      </w:r>
      <w:r>
        <w:rPr>
          <w:color w:val="auto"/>
          <w:highlight w:val="none"/>
        </w:rPr>
        <w:tab/>
      </w:r>
      <w:r>
        <w:rPr>
          <w:color w:val="auto"/>
          <w:highlight w:val="none"/>
        </w:rPr>
        <w:fldChar w:fldCharType="begin"/>
      </w:r>
      <w:r>
        <w:rPr>
          <w:color w:val="auto"/>
          <w:highlight w:val="none"/>
        </w:rPr>
        <w:instrText xml:space="preserve"> PAGEREF _Toc17167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6889755C">
      <w:pPr>
        <w:pStyle w:val="18"/>
        <w:shd w:val="clear"/>
        <w:tabs>
          <w:tab w:val="right" w:leader="dot" w:pos="8279"/>
        </w:tabs>
        <w:rPr>
          <w:color w:val="auto"/>
          <w:highlight w:val="none"/>
        </w:rPr>
      </w:pPr>
      <w:r>
        <w:rPr>
          <w:color w:val="auto"/>
          <w:highlight w:val="none"/>
        </w:rPr>
        <w:fldChar w:fldCharType="begin"/>
      </w:r>
      <w:r>
        <w:rPr>
          <w:color w:val="auto"/>
          <w:highlight w:val="none"/>
        </w:rPr>
        <w:instrText xml:space="preserve"> HYPERLINK \l "_Toc25148" </w:instrText>
      </w:r>
      <w:r>
        <w:rPr>
          <w:color w:val="auto"/>
          <w:highlight w:val="none"/>
        </w:rPr>
        <w:fldChar w:fldCharType="separate"/>
      </w:r>
      <w:r>
        <w:rPr>
          <w:rFonts w:hint="eastAsia" w:asciiTheme="minorEastAsia" w:hAnsiTheme="minorEastAsia"/>
          <w:color w:val="auto"/>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_Toc25148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9A18725">
      <w:pPr>
        <w:pStyle w:val="18"/>
        <w:shd w:val="clear"/>
        <w:tabs>
          <w:tab w:val="right" w:leader="dot" w:pos="8279"/>
        </w:tabs>
        <w:rPr>
          <w:color w:val="auto"/>
          <w:highlight w:val="none"/>
        </w:rPr>
      </w:pPr>
      <w:r>
        <w:rPr>
          <w:color w:val="auto"/>
          <w:highlight w:val="none"/>
        </w:rPr>
        <w:fldChar w:fldCharType="begin"/>
      </w:r>
      <w:r>
        <w:rPr>
          <w:color w:val="auto"/>
          <w:highlight w:val="none"/>
        </w:rPr>
        <w:instrText xml:space="preserve"> HYPERLINK \l "_Toc19418" </w:instrText>
      </w:r>
      <w:r>
        <w:rPr>
          <w:color w:val="auto"/>
          <w:highlight w:val="none"/>
        </w:rPr>
        <w:fldChar w:fldCharType="separate"/>
      </w:r>
      <w:r>
        <w:rPr>
          <w:rFonts w:hint="eastAsia" w:ascii="宋体" w:hAnsi="宋体" w:eastAsia="宋体"/>
          <w:bCs/>
          <w:color w:val="auto"/>
          <w:highlight w:val="none"/>
        </w:rPr>
        <w:t>第七章  政府采购</w:t>
      </w:r>
      <w:r>
        <w:rPr>
          <w:rFonts w:hint="eastAsia" w:asciiTheme="minorEastAsia" w:hAnsiTheme="minorEastAsia"/>
          <w:color w:val="auto"/>
          <w:highlight w:val="none"/>
        </w:rPr>
        <w:t>供应</w:t>
      </w:r>
      <w:r>
        <w:rPr>
          <w:rFonts w:hint="eastAsia" w:ascii="宋体" w:hAnsi="宋体" w:eastAsia="宋体"/>
          <w:bCs/>
          <w:color w:val="auto"/>
          <w:highlight w:val="none"/>
        </w:rPr>
        <w:t>商询问函和质疑函范本</w:t>
      </w:r>
      <w:r>
        <w:rPr>
          <w:color w:val="auto"/>
          <w:highlight w:val="none"/>
        </w:rPr>
        <w:tab/>
      </w:r>
      <w:r>
        <w:rPr>
          <w:color w:val="auto"/>
          <w:highlight w:val="none"/>
        </w:rPr>
        <w:fldChar w:fldCharType="begin"/>
      </w:r>
      <w:r>
        <w:rPr>
          <w:color w:val="auto"/>
          <w:highlight w:val="none"/>
        </w:rPr>
        <w:instrText xml:space="preserve"> PAGEREF _Toc19418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2C83F6AC">
      <w:pPr>
        <w:pStyle w:val="20"/>
        <w:shd w:val="clear"/>
        <w:tabs>
          <w:tab w:val="right" w:leader="dot" w:pos="8296"/>
        </w:tabs>
        <w:rPr>
          <w:rFonts w:asciiTheme="minorEastAsia" w:hAnsiTheme="minorEastAsia"/>
          <w:b/>
          <w:color w:val="auto"/>
          <w:sz w:val="32"/>
          <w:highlight w:val="none"/>
        </w:rPr>
      </w:pPr>
      <w:r>
        <w:rPr>
          <w:rFonts w:asciiTheme="minorEastAsia" w:hAnsiTheme="minorEastAsia"/>
          <w:bCs/>
          <w:color w:val="auto"/>
          <w:szCs w:val="24"/>
          <w:highlight w:val="none"/>
        </w:rPr>
        <w:fldChar w:fldCharType="end"/>
      </w:r>
    </w:p>
    <w:p w14:paraId="6BA97B44">
      <w:pPr>
        <w:shd w:val="clear"/>
        <w:spacing w:line="360" w:lineRule="auto"/>
        <w:jc w:val="center"/>
        <w:outlineLvl w:val="1"/>
        <w:rPr>
          <w:rFonts w:asciiTheme="minorEastAsia" w:hAnsiTheme="minorEastAsia" w:eastAsiaTheme="minorEastAsia"/>
          <w:b/>
          <w:color w:val="auto"/>
          <w:sz w:val="28"/>
          <w:highlight w:val="none"/>
        </w:rPr>
        <w:sectPr>
          <w:headerReference r:id="rId5" w:type="default"/>
          <w:footerReference r:id="rId6" w:type="default"/>
          <w:pgSz w:w="11907" w:h="16840"/>
          <w:pgMar w:top="1474" w:right="1814" w:bottom="1474" w:left="1814" w:header="851" w:footer="992" w:gutter="0"/>
          <w:cols w:space="720" w:num="1"/>
          <w:docGrid w:linePitch="462" w:charSpace="0"/>
        </w:sectPr>
      </w:pPr>
    </w:p>
    <w:p w14:paraId="602A9C1F">
      <w:pPr>
        <w:shd w:val="clear"/>
        <w:spacing w:line="360" w:lineRule="auto"/>
        <w:jc w:val="center"/>
        <w:outlineLvl w:val="0"/>
        <w:rPr>
          <w:rFonts w:asciiTheme="minorEastAsia" w:hAnsiTheme="minorEastAsia" w:eastAsiaTheme="minorEastAsia"/>
          <w:b/>
          <w:color w:val="auto"/>
          <w:sz w:val="28"/>
          <w:highlight w:val="none"/>
        </w:rPr>
      </w:pPr>
      <w:bookmarkStart w:id="0" w:name="_Toc501"/>
      <w:bookmarkStart w:id="1" w:name="_Toc19988"/>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bookmarkEnd w:id="0"/>
      <w:bookmarkEnd w:id="1"/>
      <w:r>
        <w:rPr>
          <w:rFonts w:hint="eastAsia" w:asciiTheme="minorEastAsia" w:hAnsiTheme="minorEastAsia" w:eastAsiaTheme="minorEastAsia"/>
          <w:b/>
          <w:color w:val="auto"/>
          <w:sz w:val="28"/>
          <w:highlight w:val="none"/>
        </w:rPr>
        <w:t>竞争性磋商公告</w:t>
      </w:r>
    </w:p>
    <w:p w14:paraId="3529C864">
      <w:pPr>
        <w:shd w:val="clear"/>
        <w:spacing w:line="360" w:lineRule="auto"/>
        <w:ind w:firstLine="482" w:firstLineChars="200"/>
        <w:outlineLvl w:val="1"/>
        <w:rPr>
          <w:rFonts w:ascii="宋体" w:hAnsi="宋体" w:eastAsia="宋体"/>
          <w:b/>
          <w:bCs/>
          <w:color w:val="auto"/>
          <w:sz w:val="24"/>
          <w:szCs w:val="18"/>
          <w:highlight w:val="none"/>
        </w:rPr>
      </w:pPr>
      <w:bookmarkStart w:id="2" w:name="_Toc7340"/>
      <w:bookmarkStart w:id="3" w:name="_Toc21967"/>
      <w:r>
        <w:rPr>
          <w:rFonts w:hint="eastAsia" w:ascii="宋体" w:hAnsi="宋体" w:eastAsia="宋体"/>
          <w:b/>
          <w:bCs/>
          <w:color w:val="auto"/>
          <w:sz w:val="24"/>
          <w:szCs w:val="18"/>
          <w:highlight w:val="none"/>
        </w:rPr>
        <w:t>项目概况</w:t>
      </w:r>
    </w:p>
    <w:p w14:paraId="56AF0ADB">
      <w:pPr>
        <w:shd w:val="clear"/>
        <w:autoSpaceDE w:val="0"/>
        <w:autoSpaceDN w:val="0"/>
        <w:adjustRightInd w:val="0"/>
        <w:spacing w:line="360" w:lineRule="auto"/>
        <w:ind w:firstLine="436" w:firstLineChars="182"/>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阜阳市2024-3号项目全过程造价咨询服务项目的潜在供应商应在阜阳投资发展集团有限公司(http://www.fytfjt.com/)网站获取采购文件，并于2025年</w:t>
      </w: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rPr>
        <w:t>24</w:t>
      </w:r>
      <w:r>
        <w:rPr>
          <w:rFonts w:hint="eastAsia" w:asciiTheme="minorEastAsia" w:hAnsiTheme="minorEastAsia" w:eastAsiaTheme="minorEastAsia"/>
          <w:color w:val="auto"/>
          <w:sz w:val="24"/>
          <w:highlight w:val="none"/>
        </w:rPr>
        <w:t>日10点00分（北京时间）前提交响应文件。</w:t>
      </w:r>
    </w:p>
    <w:p w14:paraId="07E05F2A">
      <w:pPr>
        <w:shd w:val="clear"/>
        <w:spacing w:line="360" w:lineRule="auto"/>
        <w:ind w:firstLine="435"/>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一、项目名称及内容</w:t>
      </w:r>
      <w:bookmarkEnd w:id="2"/>
      <w:bookmarkEnd w:id="3"/>
    </w:p>
    <w:p w14:paraId="20B60FC6">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1.项目编号：</w:t>
      </w:r>
      <w:r>
        <w:rPr>
          <w:rFonts w:hint="eastAsia" w:ascii="宋体" w:hAnsi="宋体" w:eastAsia="宋体"/>
          <w:color w:val="auto"/>
          <w:sz w:val="24"/>
          <w:szCs w:val="18"/>
          <w:highlight w:val="none"/>
        </w:rPr>
        <w:t>FYTC-ZZCZ-2025-003</w:t>
      </w:r>
    </w:p>
    <w:p w14:paraId="20800E36">
      <w:pPr>
        <w:shd w:val="clear"/>
        <w:autoSpaceDE w:val="0"/>
        <w:autoSpaceDN w:val="0"/>
        <w:adjustRightInd w:val="0"/>
        <w:spacing w:line="360" w:lineRule="auto"/>
        <w:ind w:firstLine="436" w:firstLineChars="182"/>
        <w:jc w:val="left"/>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2.项目名称：</w:t>
      </w:r>
      <w:r>
        <w:rPr>
          <w:rFonts w:hint="eastAsia" w:ascii="宋体" w:hAnsi="宋体" w:eastAsia="宋体"/>
          <w:color w:val="auto"/>
          <w:sz w:val="24"/>
          <w:szCs w:val="18"/>
          <w:highlight w:val="none"/>
        </w:rPr>
        <w:t>阜阳市【FCN2024003号宗地】全过程造价咨询服务项目</w:t>
      </w:r>
    </w:p>
    <w:p w14:paraId="3B65F9A9">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3.预算金额：</w:t>
      </w:r>
      <w:r>
        <w:rPr>
          <w:rFonts w:hint="eastAsia" w:ascii="宋体" w:hAnsi="宋体" w:eastAsia="宋体"/>
          <w:color w:val="auto"/>
          <w:sz w:val="24"/>
          <w:szCs w:val="18"/>
          <w:highlight w:val="none"/>
          <w:lang w:val="en-US" w:eastAsia="zh-CN"/>
        </w:rPr>
        <w:t>261.05</w:t>
      </w:r>
      <w:r>
        <w:rPr>
          <w:rFonts w:hint="eastAsia" w:ascii="宋体" w:hAnsi="宋体" w:eastAsia="宋体"/>
          <w:color w:val="auto"/>
          <w:sz w:val="24"/>
          <w:szCs w:val="18"/>
          <w:highlight w:val="none"/>
        </w:rPr>
        <w:t>万元</w:t>
      </w:r>
    </w:p>
    <w:p w14:paraId="6F4D6677">
      <w:pPr>
        <w:shd w:val="clear"/>
        <w:spacing w:line="360" w:lineRule="auto"/>
        <w:ind w:firstLine="435"/>
        <w:rPr>
          <w:rFonts w:eastAsia="宋体" w:asciiTheme="minorEastAsia" w:hAnsiTheme="minorEastAsia"/>
          <w:color w:val="auto"/>
          <w:sz w:val="24"/>
          <w:highlight w:val="none"/>
        </w:rPr>
      </w:pPr>
      <w:r>
        <w:rPr>
          <w:rFonts w:hint="eastAsia" w:asciiTheme="minorEastAsia" w:hAnsiTheme="minorEastAsia" w:eastAsiaTheme="minorEastAsia"/>
          <w:color w:val="auto"/>
          <w:sz w:val="24"/>
          <w:highlight w:val="none"/>
        </w:rPr>
        <w:t>4.最高限价：</w:t>
      </w:r>
      <w:r>
        <w:rPr>
          <w:rFonts w:hint="eastAsia" w:ascii="宋体" w:hAnsi="宋体" w:eastAsia="宋体"/>
          <w:color w:val="auto"/>
          <w:sz w:val="24"/>
          <w:szCs w:val="18"/>
          <w:highlight w:val="none"/>
        </w:rPr>
        <w:t>最高限价</w:t>
      </w:r>
      <w:r>
        <w:rPr>
          <w:rFonts w:hint="eastAsia" w:ascii="宋体" w:hAnsi="宋体" w:eastAsia="宋体"/>
          <w:color w:val="auto"/>
          <w:sz w:val="24"/>
          <w:szCs w:val="18"/>
          <w:highlight w:val="none"/>
        </w:rPr>
        <w:t>11.5</w:t>
      </w:r>
      <w:r>
        <w:rPr>
          <w:rFonts w:hint="eastAsia" w:ascii="宋体" w:hAnsi="宋体" w:eastAsia="宋体"/>
          <w:color w:val="auto"/>
          <w:sz w:val="24"/>
          <w:szCs w:val="18"/>
          <w:highlight w:val="none"/>
          <w:lang w:val="en-US" w:eastAsia="zh-CN"/>
        </w:rPr>
        <w:t>0</w:t>
      </w:r>
      <w:r>
        <w:rPr>
          <w:rFonts w:hint="eastAsia" w:ascii="宋体" w:hAnsi="宋体" w:eastAsia="宋体"/>
          <w:color w:val="auto"/>
          <w:sz w:val="24"/>
          <w:szCs w:val="18"/>
          <w:highlight w:val="none"/>
        </w:rPr>
        <w:t>元</w:t>
      </w:r>
      <w:r>
        <w:rPr>
          <w:rFonts w:hint="eastAsia" w:ascii="宋体" w:hAnsi="宋体" w:eastAsia="宋体"/>
          <w:color w:val="auto"/>
          <w:sz w:val="24"/>
          <w:szCs w:val="18"/>
          <w:highlight w:val="none"/>
        </w:rPr>
        <w:t>/m2（总建筑面积），总建筑面积约22.6万平方米，最终结算面积以项目</w:t>
      </w:r>
      <w:r>
        <w:rPr>
          <w:rFonts w:hint="eastAsia" w:ascii="宋体" w:hAnsi="宋体" w:eastAsia="宋体"/>
          <w:color w:val="auto"/>
          <w:sz w:val="24"/>
          <w:szCs w:val="18"/>
          <w:highlight w:val="none"/>
        </w:rPr>
        <w:t>建设工程规划许可证面积</w:t>
      </w:r>
      <w:r>
        <w:rPr>
          <w:rFonts w:hint="eastAsia" w:ascii="宋体" w:hAnsi="宋体" w:eastAsia="宋体"/>
          <w:color w:val="auto"/>
          <w:sz w:val="24"/>
          <w:szCs w:val="18"/>
          <w:highlight w:val="none"/>
        </w:rPr>
        <w:t>为准。</w:t>
      </w:r>
    </w:p>
    <w:p w14:paraId="4A772204">
      <w:pPr>
        <w:shd w:val="clea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5.采购需求：项目总用地面积约120.99亩，总建筑面积约227093㎡，规划地上计容面积约169398㎡，包括但不限于住宅（含</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eastAsia="zh-CN"/>
        </w:rPr>
        <w:t>立体园林住宅建筑</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）及其配套用房、土建、暖通、装饰装修、配套建设道路、绿化、供配电、给排水、消防、人防、燃气、亮化、室外景观、智能化、停车场等设施。采购范围</w:t>
      </w:r>
      <w:r>
        <w:rPr>
          <w:rFonts w:hint="eastAsia" w:ascii="宋体" w:hAnsi="宋体" w:eastAsia="宋体"/>
          <w:color w:val="auto"/>
          <w:sz w:val="24"/>
          <w:szCs w:val="18"/>
          <w:highlight w:val="none"/>
        </w:rPr>
        <w:t>包括但不限于规划方案、施工图设计、施工阶段、结算阶段范围内全部工程内容的全过程造价咨询服务。</w:t>
      </w:r>
    </w:p>
    <w:p w14:paraId="653CE4A3">
      <w:pPr>
        <w:shd w:val="clea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①方案设计阶段:负责验证方案经济性指标；负责提供方案比选建议。</w:t>
      </w:r>
    </w:p>
    <w:p w14:paraId="4AC59793">
      <w:pPr>
        <w:shd w:val="clea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②施工图设计前期阶段：负责测算结构设计指标；负责与标杆企业建造标准对标；参与图纸会审，对图纸进行前置把关。</w:t>
      </w:r>
    </w:p>
    <w:p w14:paraId="0506A9E5">
      <w:pPr>
        <w:shd w:val="clea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③施工图设计阶段：负责施工图总承包预算编制，出具建设方项目造价控制方案；</w:t>
      </w:r>
    </w:p>
    <w:p w14:paraId="79AC3E98">
      <w:pPr>
        <w:shd w:val="clea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④施工阶段：总承包施工图预算核对；变更、签证审核；现场返工、隐蔽工程量收方、现场履约管理，成本资料管理，成本巡检；进度款审核；零星核价、认质认价。</w:t>
      </w:r>
    </w:p>
    <w:p w14:paraId="08AA9D8B">
      <w:pPr>
        <w:shd w:val="clear"/>
        <w:spacing w:line="360" w:lineRule="auto"/>
        <w:ind w:firstLine="435"/>
        <w:rPr>
          <w:rFonts w:eastAsia="宋体" w:asciiTheme="minorEastAsia" w:hAnsiTheme="minorEastAsia"/>
          <w:color w:val="auto"/>
          <w:sz w:val="24"/>
          <w:highlight w:val="none"/>
        </w:rPr>
      </w:pPr>
      <w:r>
        <w:rPr>
          <w:rFonts w:hint="eastAsia" w:ascii="宋体" w:hAnsi="宋体" w:eastAsia="宋体"/>
          <w:color w:val="auto"/>
          <w:sz w:val="24"/>
          <w:szCs w:val="18"/>
          <w:highlight w:val="none"/>
        </w:rPr>
        <w:t>⑤竣工结算阶段：参加总分包竣工验收；总承包及分包合同一审结算、配合二审核对及主管部门审计结束。</w:t>
      </w:r>
    </w:p>
    <w:p w14:paraId="2FF77D57">
      <w:pPr>
        <w:shd w:val="clear"/>
        <w:spacing w:line="360" w:lineRule="auto"/>
        <w:ind w:firstLine="435"/>
        <w:rPr>
          <w:rFonts w:eastAsia="宋体" w:asciiTheme="minorEastAsia" w:hAnsiTheme="minorEastAsia"/>
          <w:color w:val="auto"/>
          <w:sz w:val="24"/>
          <w:highlight w:val="none"/>
        </w:rPr>
      </w:pPr>
      <w:r>
        <w:rPr>
          <w:rFonts w:hint="eastAsia" w:asciiTheme="minorEastAsia" w:hAnsiTheme="minorEastAsia" w:eastAsiaTheme="minorEastAsia"/>
          <w:color w:val="auto"/>
          <w:sz w:val="24"/>
          <w:highlight w:val="none"/>
        </w:rPr>
        <w:t>6.合同履行期限：</w:t>
      </w:r>
      <w:r>
        <w:rPr>
          <w:rFonts w:hint="eastAsia" w:ascii="宋体" w:hAnsi="宋体" w:eastAsia="宋体"/>
          <w:color w:val="auto"/>
          <w:sz w:val="24"/>
          <w:szCs w:val="18"/>
          <w:highlight w:val="none"/>
        </w:rPr>
        <w:t>48月（不含免费延期3个月）</w:t>
      </w:r>
      <w:r>
        <w:rPr>
          <w:rFonts w:hint="eastAsia" w:ascii="宋体" w:hAnsi="宋体" w:eastAsia="宋体"/>
          <w:color w:val="auto"/>
          <w:sz w:val="24"/>
          <w:szCs w:val="18"/>
          <w:highlight w:val="none"/>
        </w:rPr>
        <w:t>。</w:t>
      </w:r>
    </w:p>
    <w:p w14:paraId="188F050D">
      <w:pPr>
        <w:shd w:val="clear"/>
        <w:autoSpaceDE w:val="0"/>
        <w:autoSpaceDN w:val="0"/>
        <w:adjustRightInd w:val="0"/>
        <w:spacing w:line="360" w:lineRule="auto"/>
        <w:ind w:firstLine="436" w:firstLineChars="182"/>
        <w:jc w:val="left"/>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7.本项目是否接受联合体：否。</w:t>
      </w:r>
    </w:p>
    <w:p w14:paraId="6673B4E2">
      <w:pPr>
        <w:shd w:val="clear"/>
        <w:spacing w:line="360" w:lineRule="auto"/>
        <w:ind w:firstLine="435"/>
        <w:outlineLvl w:val="1"/>
        <w:rPr>
          <w:rFonts w:ascii="宋体" w:hAnsi="宋体" w:eastAsia="宋体"/>
          <w:b/>
          <w:bCs/>
          <w:color w:val="auto"/>
          <w:sz w:val="24"/>
          <w:szCs w:val="18"/>
          <w:highlight w:val="none"/>
        </w:rPr>
      </w:pPr>
      <w:bookmarkStart w:id="4" w:name="_Toc10226"/>
      <w:bookmarkStart w:id="5" w:name="_Toc9766"/>
      <w:r>
        <w:rPr>
          <w:rFonts w:hint="eastAsia" w:ascii="宋体" w:hAnsi="宋体" w:eastAsia="宋体"/>
          <w:b/>
          <w:bCs/>
          <w:color w:val="auto"/>
          <w:sz w:val="24"/>
          <w:szCs w:val="18"/>
          <w:highlight w:val="none"/>
        </w:rPr>
        <w:t>二</w:t>
      </w:r>
      <w:r>
        <w:rPr>
          <w:rFonts w:hint="eastAsia" w:asciiTheme="minorEastAsia" w:hAnsiTheme="minorEastAsia" w:eastAsiaTheme="minorEastAsia"/>
          <w:b/>
          <w:color w:val="auto"/>
          <w:sz w:val="24"/>
          <w:highlight w:val="none"/>
        </w:rPr>
        <w:t>、</w:t>
      </w:r>
      <w:bookmarkEnd w:id="4"/>
      <w:r>
        <w:rPr>
          <w:rFonts w:hint="eastAsia" w:ascii="宋体" w:hAnsi="宋体" w:eastAsia="宋体"/>
          <w:b/>
          <w:bCs/>
          <w:color w:val="auto"/>
          <w:sz w:val="24"/>
          <w:szCs w:val="18"/>
          <w:highlight w:val="none"/>
        </w:rPr>
        <w:t>申请人的资格要求</w:t>
      </w:r>
      <w:bookmarkEnd w:id="5"/>
    </w:p>
    <w:p w14:paraId="28D73049">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1.满足《中华人民共和国政府采购法》第二十二条规定；</w:t>
      </w:r>
    </w:p>
    <w:p w14:paraId="2BC97EFB">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3.本项目的特定资格要求：</w:t>
      </w:r>
    </w:p>
    <w:p w14:paraId="32D43CDF">
      <w:pPr>
        <w:shd w:val="clear"/>
        <w:spacing w:line="360" w:lineRule="auto"/>
        <w:ind w:firstLine="435"/>
        <w:rPr>
          <w:rFonts w:ascii="宋体" w:hAnsi="宋体" w:eastAsiaTheme="minorEastAsia"/>
          <w:color w:val="auto"/>
          <w:sz w:val="24"/>
          <w:szCs w:val="18"/>
          <w:highlight w:val="none"/>
        </w:rPr>
      </w:pPr>
      <w:r>
        <w:rPr>
          <w:rFonts w:hint="eastAsia" w:asciiTheme="minorEastAsia" w:hAnsiTheme="minorEastAsia" w:eastAsiaTheme="minorEastAsia"/>
          <w:color w:val="auto"/>
          <w:sz w:val="24"/>
          <w:highlight w:val="none"/>
        </w:rPr>
        <w:t>3.1具有有效的营业执照等证明文件。</w:t>
      </w:r>
    </w:p>
    <w:p w14:paraId="41E03B92">
      <w:pPr>
        <w:shd w:val="clear"/>
        <w:spacing w:line="360" w:lineRule="auto"/>
        <w:ind w:firstLine="435"/>
        <w:outlineLvl w:val="1"/>
        <w:rPr>
          <w:rFonts w:ascii="宋体" w:hAnsi="宋体" w:eastAsia="宋体"/>
          <w:b/>
          <w:bCs/>
          <w:color w:val="auto"/>
          <w:sz w:val="24"/>
          <w:szCs w:val="18"/>
          <w:highlight w:val="none"/>
        </w:rPr>
      </w:pPr>
      <w:bookmarkStart w:id="6" w:name="_Toc4607"/>
      <w:bookmarkStart w:id="7" w:name="_Toc31469"/>
      <w:r>
        <w:rPr>
          <w:rFonts w:hint="eastAsia" w:ascii="宋体" w:hAnsi="宋体" w:eastAsia="宋体"/>
          <w:b/>
          <w:bCs/>
          <w:color w:val="auto"/>
          <w:sz w:val="24"/>
          <w:szCs w:val="18"/>
          <w:highlight w:val="none"/>
        </w:rPr>
        <w:t>三</w:t>
      </w:r>
      <w:r>
        <w:rPr>
          <w:rFonts w:hint="eastAsia" w:asciiTheme="minorEastAsia" w:hAnsiTheme="minorEastAsia" w:eastAsiaTheme="minorEastAsia"/>
          <w:b/>
          <w:color w:val="auto"/>
          <w:sz w:val="24"/>
          <w:highlight w:val="none"/>
        </w:rPr>
        <w:t>、</w:t>
      </w:r>
      <w:bookmarkEnd w:id="6"/>
      <w:r>
        <w:rPr>
          <w:rFonts w:hint="eastAsia" w:asciiTheme="minorEastAsia" w:hAnsiTheme="minorEastAsia" w:eastAsiaTheme="minorEastAsia"/>
          <w:b/>
          <w:color w:val="auto"/>
          <w:sz w:val="24"/>
          <w:highlight w:val="none"/>
        </w:rPr>
        <w:t>获取采购文件</w:t>
      </w:r>
      <w:bookmarkEnd w:id="7"/>
    </w:p>
    <w:p w14:paraId="18A7A608">
      <w:pPr>
        <w:shd w:val="clear"/>
        <w:spacing w:line="360" w:lineRule="auto"/>
        <w:ind w:firstLine="435"/>
        <w:jc w:val="center"/>
        <w:outlineLvl w:val="1"/>
        <w:rPr>
          <w:rFonts w:asciiTheme="minorEastAsia" w:hAnsiTheme="minorEastAsia" w:eastAsiaTheme="minorEastAsia" w:cstheme="minorEastAsia"/>
          <w:color w:val="auto"/>
          <w:sz w:val="24"/>
          <w:szCs w:val="24"/>
          <w:highlight w:val="none"/>
        </w:rPr>
      </w:pPr>
      <w:bookmarkStart w:id="8" w:name="_Toc19753"/>
      <w:bookmarkStart w:id="9" w:name="_Toc16674"/>
      <w:r>
        <w:rPr>
          <w:rFonts w:hint="eastAsia" w:asciiTheme="minorEastAsia" w:hAnsiTheme="minorEastAsia" w:eastAsiaTheme="minorEastAsia" w:cstheme="minorEastAsia"/>
          <w:color w:val="auto"/>
          <w:sz w:val="24"/>
          <w:szCs w:val="24"/>
          <w:highlight w:val="none"/>
        </w:rPr>
        <w:t>时间：2025年</w:t>
      </w: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olor w:val="auto"/>
          <w:sz w:val="24"/>
          <w:highlight w:val="none"/>
        </w:rPr>
        <w:t>13</w:t>
      </w:r>
      <w:r>
        <w:rPr>
          <w:rFonts w:hint="eastAsia" w:asciiTheme="minorEastAsia" w:hAnsiTheme="minorEastAsia" w:eastAsiaTheme="minorEastAsia" w:cstheme="minorEastAsia"/>
          <w:color w:val="auto"/>
          <w:sz w:val="24"/>
          <w:szCs w:val="24"/>
          <w:highlight w:val="none"/>
        </w:rPr>
        <w:t>日至2025年</w:t>
      </w: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olor w:val="auto"/>
          <w:sz w:val="24"/>
          <w:highlight w:val="none"/>
        </w:rPr>
        <w:t>24</w:t>
      </w:r>
      <w:r>
        <w:rPr>
          <w:rFonts w:hint="eastAsia" w:asciiTheme="minorEastAsia" w:hAnsiTheme="minorEastAsia" w:eastAsiaTheme="minorEastAsia" w:cstheme="minorEastAsia"/>
          <w:color w:val="auto"/>
          <w:sz w:val="24"/>
          <w:szCs w:val="24"/>
          <w:highlight w:val="none"/>
        </w:rPr>
        <w:t>日上午10：00分（北京时间，法定节假日除外 ）</w:t>
      </w:r>
    </w:p>
    <w:p w14:paraId="25484F96">
      <w:pPr>
        <w:shd w:val="clear"/>
        <w:spacing w:line="360" w:lineRule="auto"/>
        <w:ind w:firstLine="435"/>
        <w:outlineLvl w:val="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地点：阜阳投资发展集团有限公司(http://www.fytfjt.com/)</w:t>
      </w:r>
    </w:p>
    <w:p w14:paraId="518ABB9F">
      <w:pPr>
        <w:shd w:val="clear"/>
        <w:spacing w:line="360" w:lineRule="auto"/>
        <w:ind w:firstLine="435"/>
        <w:outlineLvl w:val="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方式：自行下载 </w:t>
      </w:r>
    </w:p>
    <w:p w14:paraId="7E02EEAF">
      <w:pPr>
        <w:shd w:val="clear"/>
        <w:spacing w:line="360" w:lineRule="auto"/>
        <w:ind w:firstLine="435"/>
        <w:outlineLvl w:val="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售价：免收</w:t>
      </w:r>
    </w:p>
    <w:p w14:paraId="795325E3">
      <w:pPr>
        <w:shd w:val="clear"/>
        <w:spacing w:line="360" w:lineRule="auto"/>
        <w:ind w:firstLine="435"/>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四</w:t>
      </w:r>
      <w:r>
        <w:rPr>
          <w:rFonts w:hint="eastAsia" w:asciiTheme="minorEastAsia" w:hAnsiTheme="minorEastAsia" w:eastAsiaTheme="minorEastAsia"/>
          <w:b/>
          <w:color w:val="auto"/>
          <w:sz w:val="24"/>
          <w:highlight w:val="none"/>
        </w:rPr>
        <w:t>、</w:t>
      </w:r>
      <w:bookmarkEnd w:id="8"/>
      <w:r>
        <w:rPr>
          <w:rFonts w:hint="eastAsia" w:ascii="宋体" w:hAnsi="宋体" w:eastAsia="宋体"/>
          <w:b/>
          <w:bCs/>
          <w:color w:val="auto"/>
          <w:sz w:val="24"/>
          <w:highlight w:val="none"/>
        </w:rPr>
        <w:t>响应文件提交</w:t>
      </w:r>
      <w:bookmarkEnd w:id="9"/>
    </w:p>
    <w:p w14:paraId="6CEE8932">
      <w:pPr>
        <w:shd w:val="clear"/>
        <w:spacing w:line="360" w:lineRule="auto"/>
        <w:ind w:firstLine="435"/>
        <w:outlineLvl w:val="1"/>
        <w:rPr>
          <w:rFonts w:asciiTheme="minorEastAsia" w:hAnsiTheme="minorEastAsia" w:eastAsiaTheme="minorEastAsia" w:cstheme="minorEastAsia"/>
          <w:bCs/>
          <w:color w:val="auto"/>
          <w:sz w:val="24"/>
          <w:szCs w:val="24"/>
          <w:highlight w:val="none"/>
        </w:rPr>
      </w:pPr>
      <w:bookmarkStart w:id="10" w:name="_Toc8953"/>
      <w:bookmarkStart w:id="11" w:name="_Toc7959"/>
      <w:r>
        <w:rPr>
          <w:rFonts w:hint="eastAsia" w:asciiTheme="minorEastAsia" w:hAnsiTheme="minorEastAsia" w:eastAsiaTheme="minorEastAsia" w:cstheme="minorEastAsia"/>
          <w:bCs/>
          <w:color w:val="auto"/>
          <w:sz w:val="24"/>
          <w:szCs w:val="24"/>
          <w:highlight w:val="none"/>
        </w:rPr>
        <w:t>截止时间：2025年</w:t>
      </w: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olor w:val="auto"/>
          <w:sz w:val="24"/>
          <w:highlight w:val="none"/>
        </w:rPr>
        <w:t>24</w:t>
      </w:r>
      <w:r>
        <w:rPr>
          <w:rFonts w:hint="eastAsia" w:asciiTheme="minorEastAsia" w:hAnsiTheme="minorEastAsia" w:eastAsiaTheme="minorEastAsia" w:cstheme="minorEastAsia"/>
          <w:bCs/>
          <w:color w:val="auto"/>
          <w:sz w:val="24"/>
          <w:szCs w:val="24"/>
          <w:highlight w:val="none"/>
        </w:rPr>
        <w:t>日10点00分（北京时间）</w:t>
      </w:r>
    </w:p>
    <w:p w14:paraId="389CFEC0">
      <w:pPr>
        <w:shd w:val="clear"/>
        <w:spacing w:line="360" w:lineRule="auto"/>
        <w:ind w:firstLine="435"/>
        <w:outlineLvl w:val="1"/>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    点：采购人指定邮箱。</w:t>
      </w:r>
    </w:p>
    <w:p w14:paraId="27A864FE">
      <w:pPr>
        <w:shd w:val="clear"/>
        <w:spacing w:line="360" w:lineRule="auto"/>
        <w:ind w:firstLine="435"/>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五</w:t>
      </w:r>
      <w:r>
        <w:rPr>
          <w:rFonts w:hint="eastAsia" w:asciiTheme="minorEastAsia" w:hAnsiTheme="minorEastAsia" w:eastAsiaTheme="minorEastAsia"/>
          <w:b/>
          <w:color w:val="auto"/>
          <w:sz w:val="24"/>
          <w:highlight w:val="none"/>
        </w:rPr>
        <w:t>、</w:t>
      </w:r>
      <w:bookmarkEnd w:id="10"/>
      <w:r>
        <w:rPr>
          <w:rFonts w:hint="eastAsia" w:ascii="宋体" w:hAnsi="宋体" w:eastAsia="宋体"/>
          <w:b/>
          <w:bCs/>
          <w:color w:val="auto"/>
          <w:sz w:val="24"/>
          <w:highlight w:val="none"/>
        </w:rPr>
        <w:t>开启</w:t>
      </w:r>
      <w:bookmarkEnd w:id="11"/>
    </w:p>
    <w:p w14:paraId="61D959C5">
      <w:pPr>
        <w:shd w:val="clear"/>
        <w:spacing w:line="360" w:lineRule="auto"/>
        <w:ind w:firstLine="437"/>
        <w:outlineLvl w:val="1"/>
        <w:rPr>
          <w:rFonts w:asciiTheme="minorEastAsia" w:hAnsiTheme="minorEastAsia" w:eastAsiaTheme="minorEastAsia" w:cstheme="minorEastAsia"/>
          <w:bCs/>
          <w:color w:val="auto"/>
          <w:sz w:val="24"/>
          <w:szCs w:val="24"/>
          <w:highlight w:val="none"/>
        </w:rPr>
      </w:pPr>
      <w:bookmarkStart w:id="12" w:name="_Toc14575"/>
      <w:bookmarkStart w:id="13" w:name="_Toc16203"/>
      <w:r>
        <w:rPr>
          <w:rFonts w:hint="eastAsia" w:asciiTheme="minorEastAsia" w:hAnsiTheme="minorEastAsia" w:eastAsiaTheme="minorEastAsia" w:cstheme="minorEastAsia"/>
          <w:bCs/>
          <w:color w:val="auto"/>
          <w:sz w:val="24"/>
          <w:szCs w:val="24"/>
          <w:highlight w:val="none"/>
        </w:rPr>
        <w:t>时间：2025年</w:t>
      </w: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olor w:val="auto"/>
          <w:sz w:val="24"/>
          <w:highlight w:val="none"/>
        </w:rPr>
        <w:t>24</w:t>
      </w:r>
      <w:r>
        <w:rPr>
          <w:rFonts w:hint="eastAsia" w:asciiTheme="minorEastAsia" w:hAnsiTheme="minorEastAsia" w:eastAsiaTheme="minorEastAsia" w:cstheme="minorEastAsia"/>
          <w:bCs/>
          <w:color w:val="auto"/>
          <w:sz w:val="24"/>
          <w:szCs w:val="24"/>
          <w:highlight w:val="none"/>
        </w:rPr>
        <w:t>日10点00分（北京时间）</w:t>
      </w:r>
    </w:p>
    <w:p w14:paraId="52A6C759">
      <w:pPr>
        <w:shd w:val="clear"/>
        <w:spacing w:line="360" w:lineRule="auto"/>
        <w:ind w:firstLine="437"/>
        <w:outlineLvl w:val="1"/>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地点：阜阳市市民中心三楼6号厅。</w:t>
      </w:r>
    </w:p>
    <w:p w14:paraId="3822347F">
      <w:pPr>
        <w:shd w:val="clea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六、公告期限</w:t>
      </w:r>
      <w:bookmarkEnd w:id="12"/>
    </w:p>
    <w:p w14:paraId="39BD18B6">
      <w:pPr>
        <w:shd w:val="clear"/>
        <w:adjustRightInd w:val="0"/>
        <w:snapToGrid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自本公告发布之日起3个工作日。</w:t>
      </w:r>
    </w:p>
    <w:p w14:paraId="0D474708">
      <w:pPr>
        <w:shd w:val="clear"/>
        <w:spacing w:line="360" w:lineRule="auto"/>
        <w:ind w:firstLine="437"/>
        <w:outlineLvl w:val="1"/>
        <w:rPr>
          <w:rFonts w:ascii="宋体" w:hAnsi="宋体" w:eastAsia="宋体"/>
          <w:b/>
          <w:bCs/>
          <w:color w:val="auto"/>
          <w:sz w:val="24"/>
          <w:szCs w:val="18"/>
          <w:highlight w:val="none"/>
        </w:rPr>
      </w:pPr>
      <w:bookmarkStart w:id="14" w:name="_Toc16366"/>
      <w:bookmarkStart w:id="15" w:name="_Toc35393626"/>
      <w:bookmarkStart w:id="16" w:name="_Toc35393795"/>
      <w:r>
        <w:rPr>
          <w:rFonts w:hint="eastAsia" w:ascii="宋体" w:hAnsi="宋体" w:eastAsia="宋体"/>
          <w:b/>
          <w:bCs/>
          <w:color w:val="auto"/>
          <w:sz w:val="24"/>
          <w:szCs w:val="18"/>
          <w:highlight w:val="none"/>
        </w:rPr>
        <w:t>七、其他补充事宜</w:t>
      </w:r>
      <w:bookmarkEnd w:id="14"/>
      <w:bookmarkEnd w:id="15"/>
      <w:bookmarkEnd w:id="16"/>
    </w:p>
    <w:p w14:paraId="713E3250">
      <w:pPr>
        <w:shd w:val="clear"/>
        <w:spacing w:line="360" w:lineRule="auto"/>
        <w:ind w:firstLine="435"/>
        <w:outlineLvl w:val="1"/>
        <w:rPr>
          <w:rFonts w:ascii="宋体" w:hAnsi="宋体" w:eastAsia="宋体"/>
          <w:color w:val="auto"/>
          <w:sz w:val="24"/>
          <w:szCs w:val="18"/>
          <w:highlight w:val="none"/>
        </w:rPr>
      </w:pPr>
      <w:bookmarkStart w:id="17" w:name="_Toc7755"/>
      <w:r>
        <w:rPr>
          <w:rFonts w:hint="eastAsia" w:ascii="宋体" w:hAnsi="宋体" w:eastAsia="宋体"/>
          <w:color w:val="auto"/>
          <w:sz w:val="24"/>
          <w:szCs w:val="18"/>
          <w:highlight w:val="none"/>
        </w:rPr>
        <w:t>1、本项目响应文件的递交方式现采用电子邮箱接收响应文件，不再进行现场递交。具体办法如下：</w:t>
      </w:r>
    </w:p>
    <w:p w14:paraId="5CF6752D">
      <w:pPr>
        <w:shd w:val="clear"/>
        <w:spacing w:line="360" w:lineRule="auto"/>
        <w:ind w:firstLine="435"/>
        <w:outlineLvl w:val="1"/>
        <w:rPr>
          <w:rFonts w:ascii="宋体" w:hAnsi="宋体" w:eastAsia="宋体"/>
          <w:color w:val="auto"/>
          <w:sz w:val="24"/>
          <w:szCs w:val="18"/>
          <w:highlight w:val="none"/>
        </w:rPr>
      </w:pPr>
      <w:r>
        <w:rPr>
          <w:rFonts w:hint="eastAsia" w:ascii="宋体" w:hAnsi="宋体" w:eastAsia="宋体"/>
          <w:color w:val="auto"/>
          <w:sz w:val="24"/>
          <w:szCs w:val="18"/>
          <w:highlight w:val="none"/>
        </w:rPr>
        <w:t>（1）电子邮箱地址的获取方式：</w:t>
      </w:r>
    </w:p>
    <w:p w14:paraId="117B007D">
      <w:pPr>
        <w:shd w:val="clear"/>
        <w:spacing w:line="360" w:lineRule="auto"/>
        <w:ind w:firstLine="435"/>
        <w:outlineLvl w:val="1"/>
        <w:rPr>
          <w:rFonts w:ascii="宋体" w:hAnsi="宋体" w:eastAsia="宋体"/>
          <w:color w:val="auto"/>
          <w:sz w:val="24"/>
          <w:szCs w:val="18"/>
          <w:highlight w:val="none"/>
        </w:rPr>
      </w:pPr>
      <w:r>
        <w:rPr>
          <w:rFonts w:hint="eastAsia" w:ascii="宋体" w:hAnsi="宋体" w:eastAsia="宋体"/>
          <w:color w:val="auto"/>
          <w:sz w:val="24"/>
          <w:szCs w:val="18"/>
          <w:highlight w:val="none"/>
        </w:rPr>
        <w:t>响应文件递交截止时间前两小时内，采购代理机构工作人员在采购人、现场监督员共同见证下现场申请临时电子邮箱地址，并将电子邮箱地址及时发布在安徽省招标投标信息网网站（http://www.ahtba.org.cn/）网站中。各潜在响应供应商应在投标截止时间前一小时内随时关注该项目的更正公告，及时获取电子邮箱地址，该电子邮箱地址作为采购人指定的电子邮箱地址。</w:t>
      </w:r>
    </w:p>
    <w:p w14:paraId="17E881B6">
      <w:pPr>
        <w:shd w:val="clear"/>
        <w:spacing w:line="360" w:lineRule="auto"/>
        <w:ind w:firstLine="435"/>
        <w:outlineLvl w:val="1"/>
        <w:rPr>
          <w:rFonts w:ascii="宋体" w:hAnsi="宋体" w:eastAsia="宋体"/>
          <w:color w:val="auto"/>
          <w:sz w:val="24"/>
          <w:szCs w:val="18"/>
          <w:highlight w:val="none"/>
        </w:rPr>
      </w:pPr>
      <w:r>
        <w:rPr>
          <w:rFonts w:hint="eastAsia" w:ascii="宋体" w:hAnsi="宋体" w:eastAsia="宋体"/>
          <w:color w:val="auto"/>
          <w:sz w:val="24"/>
          <w:szCs w:val="18"/>
          <w:highlight w:val="none"/>
        </w:rPr>
        <w:t>（2）电子版响应文件的递交方式：</w:t>
      </w:r>
    </w:p>
    <w:p w14:paraId="03F4DC16">
      <w:pPr>
        <w:shd w:val="clear"/>
        <w:spacing w:line="360" w:lineRule="auto"/>
        <w:ind w:firstLine="435"/>
        <w:outlineLvl w:val="1"/>
        <w:rPr>
          <w:rFonts w:ascii="宋体" w:hAnsi="宋体" w:eastAsia="宋体"/>
          <w:color w:val="auto"/>
          <w:sz w:val="24"/>
          <w:szCs w:val="18"/>
          <w:highlight w:val="none"/>
        </w:rPr>
      </w:pPr>
      <w:r>
        <w:rPr>
          <w:rFonts w:hint="eastAsia" w:ascii="宋体" w:hAnsi="宋体" w:eastAsia="宋体"/>
          <w:color w:val="auto"/>
          <w:sz w:val="24"/>
          <w:szCs w:val="18"/>
          <w:highlight w:val="none"/>
        </w:rPr>
        <w:t>各潜在响应供应商应提前将该项目签字盖章齐全的纸质版响应文件进行扫描后转化为电子版PDF格式，以上内容压缩为一个压缩包上传至邮箱，压缩包和邮件名称均须设置成：响应供应商名称+项目名称+授权人姓名+授权人手机号码，且邮件内容与邮件名称相统一，如因响应供应商邮件名称标识错误或邮件内容混传，责任自负。</w:t>
      </w:r>
    </w:p>
    <w:p w14:paraId="2A9C7DCC">
      <w:pPr>
        <w:shd w:val="clear"/>
        <w:spacing w:line="360" w:lineRule="auto"/>
        <w:ind w:firstLine="435"/>
        <w:outlineLvl w:val="1"/>
        <w:rPr>
          <w:rFonts w:ascii="宋体" w:hAnsi="宋体" w:eastAsia="宋体"/>
          <w:color w:val="auto"/>
          <w:sz w:val="24"/>
          <w:szCs w:val="18"/>
          <w:highlight w:val="none"/>
        </w:rPr>
      </w:pPr>
      <w:r>
        <w:rPr>
          <w:rFonts w:hint="eastAsia" w:ascii="宋体" w:hAnsi="宋体" w:eastAsia="宋体"/>
          <w:color w:val="auto"/>
          <w:sz w:val="24"/>
          <w:szCs w:val="18"/>
          <w:highlight w:val="none"/>
        </w:rPr>
        <w:t>以邮件系统显示的接收时间作为响应供应商递交响应文件的时间，投标截止时间后电子邮箱接收到的响应文件无效。若同一响应供应商在响应文件递交截止时间前于电子邮箱内提交多份响应文件的，以递交时间最晚的响应文件，作为本次项目的正式响应文件，递交响应文件最晚的邮箱作为该响应供应商的指定邮箱。逾期提交的或者未提交至电子邮箱的响应文件，采购人拒绝接收。</w:t>
      </w:r>
    </w:p>
    <w:p w14:paraId="4D53A18A">
      <w:pPr>
        <w:shd w:val="clear"/>
        <w:spacing w:line="360" w:lineRule="auto"/>
        <w:ind w:firstLine="435"/>
        <w:outlineLvl w:val="1"/>
        <w:rPr>
          <w:rFonts w:ascii="宋体" w:hAnsi="宋体" w:eastAsia="宋体"/>
          <w:color w:val="auto"/>
          <w:sz w:val="24"/>
          <w:szCs w:val="18"/>
          <w:highlight w:val="none"/>
        </w:rPr>
      </w:pPr>
      <w:r>
        <w:rPr>
          <w:rFonts w:hint="eastAsia" w:ascii="宋体" w:hAnsi="宋体" w:eastAsia="宋体"/>
          <w:color w:val="auto"/>
          <w:sz w:val="24"/>
          <w:szCs w:val="18"/>
          <w:highlight w:val="none"/>
        </w:rPr>
        <w:t>（3）电子版响应文件询标方式：</w:t>
      </w:r>
    </w:p>
    <w:p w14:paraId="33D548FC">
      <w:pPr>
        <w:shd w:val="clear"/>
        <w:spacing w:line="360" w:lineRule="auto"/>
        <w:ind w:firstLine="435"/>
        <w:outlineLvl w:val="1"/>
        <w:rPr>
          <w:rFonts w:ascii="宋体" w:hAnsi="宋体" w:eastAsia="宋体"/>
          <w:color w:val="auto"/>
          <w:sz w:val="24"/>
          <w:szCs w:val="18"/>
          <w:highlight w:val="none"/>
        </w:rPr>
      </w:pPr>
      <w:r>
        <w:rPr>
          <w:rFonts w:hint="eastAsia" w:ascii="宋体" w:hAnsi="宋体" w:eastAsia="宋体"/>
          <w:color w:val="auto"/>
          <w:sz w:val="24"/>
          <w:szCs w:val="18"/>
          <w:highlight w:val="none"/>
        </w:rPr>
        <w:t>磋商小组依据采购文件对电子版响应文件进行评审。评审过程中需要询标的，将由电子邮箱将询标函发送至响应供应商的递交响应文件的电子邮箱。响应供应商须在20分钟内通过指定邮箱反馈给磋商小组）。响应供应商须随时保持电话及指定邮箱畅通，否则责任自负。</w:t>
      </w:r>
    </w:p>
    <w:p w14:paraId="40FCA2DF">
      <w:pPr>
        <w:shd w:val="clear"/>
        <w:spacing w:line="360" w:lineRule="auto"/>
        <w:ind w:firstLine="435"/>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八</w:t>
      </w:r>
      <w:r>
        <w:rPr>
          <w:rFonts w:hint="eastAsia" w:asciiTheme="minorEastAsia" w:hAnsiTheme="minorEastAsia" w:eastAsiaTheme="minorEastAsia"/>
          <w:b/>
          <w:color w:val="auto"/>
          <w:sz w:val="24"/>
          <w:highlight w:val="none"/>
        </w:rPr>
        <w:t>、</w:t>
      </w:r>
      <w:bookmarkEnd w:id="13"/>
      <w:r>
        <w:rPr>
          <w:rFonts w:hint="eastAsia" w:ascii="宋体" w:hAnsi="宋体" w:eastAsia="宋体"/>
          <w:b/>
          <w:bCs/>
          <w:color w:val="auto"/>
          <w:sz w:val="24"/>
          <w:szCs w:val="18"/>
          <w:highlight w:val="none"/>
        </w:rPr>
        <w:t>凡对本次采购提出询问，请按以下方式联系</w:t>
      </w:r>
      <w:bookmarkEnd w:id="17"/>
    </w:p>
    <w:p w14:paraId="6385053D">
      <w:pPr>
        <w:shd w:val="clea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1.采购人信息</w:t>
      </w:r>
    </w:p>
    <w:p w14:paraId="7BF1A9D8">
      <w:pPr>
        <w:shd w:val="clea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名    称：阜阳市建投置业有限公司</w:t>
      </w:r>
    </w:p>
    <w:p w14:paraId="4EC8A60E">
      <w:pPr>
        <w:shd w:val="clea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联系方式：王工0558-2553771</w:t>
      </w:r>
    </w:p>
    <w:p w14:paraId="13076985">
      <w:pPr>
        <w:shd w:val="clea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2.采购代理机构信息</w:t>
      </w:r>
    </w:p>
    <w:p w14:paraId="35564BCB">
      <w:pPr>
        <w:shd w:val="clea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名    称：阜阳市同创投资咨询管理有限公司</w:t>
      </w:r>
    </w:p>
    <w:p w14:paraId="47642FD0">
      <w:pPr>
        <w:shd w:val="clea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地　　址：阜阳市市民中心三楼6号厅</w:t>
      </w:r>
    </w:p>
    <w:p w14:paraId="2468BA80">
      <w:pPr>
        <w:shd w:val="clea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联系方式：张工；0558-2166193（备用电话0558-2166016）　</w:t>
      </w:r>
    </w:p>
    <w:p w14:paraId="6F540B80">
      <w:pPr>
        <w:shd w:val="clea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3.项目联系方式</w:t>
      </w:r>
    </w:p>
    <w:p w14:paraId="05B9BC5B">
      <w:pPr>
        <w:shd w:val="clea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项目联系人：王工；张工；</w:t>
      </w:r>
    </w:p>
    <w:p w14:paraId="45283B52">
      <w:pPr>
        <w:shd w:val="clea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电　　 话：0558-2553771；0558-2166193（备用电话0558-2166016）</w:t>
      </w:r>
    </w:p>
    <w:p w14:paraId="2C99FF82">
      <w:pPr>
        <w:shd w:val="clear"/>
        <w:rPr>
          <w:rFonts w:asciiTheme="minorEastAsia" w:hAnsiTheme="minorEastAsia" w:eastAsiaTheme="minorEastAsia"/>
          <w:b/>
          <w:color w:val="auto"/>
          <w:sz w:val="28"/>
          <w:highlight w:val="none"/>
        </w:rPr>
      </w:pPr>
      <w:bookmarkStart w:id="18" w:name="_Toc7162"/>
      <w:r>
        <w:rPr>
          <w:rFonts w:hint="eastAsia" w:asciiTheme="minorEastAsia" w:hAnsiTheme="minorEastAsia" w:eastAsiaTheme="minorEastAsia"/>
          <w:b/>
          <w:color w:val="auto"/>
          <w:sz w:val="28"/>
          <w:highlight w:val="none"/>
        </w:rPr>
        <w:br w:type="page"/>
      </w:r>
    </w:p>
    <w:p w14:paraId="2D44395B">
      <w:pPr>
        <w:shd w:val="clea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18"/>
    </w:p>
    <w:p w14:paraId="6533DD23">
      <w:pPr>
        <w:shd w:val="clear"/>
        <w:spacing w:line="360" w:lineRule="auto"/>
        <w:jc w:val="center"/>
        <w:outlineLvl w:val="1"/>
        <w:rPr>
          <w:rFonts w:asciiTheme="minorEastAsia" w:hAnsiTheme="minorEastAsia" w:eastAsiaTheme="minorEastAsia"/>
          <w:b/>
          <w:color w:val="auto"/>
          <w:sz w:val="24"/>
          <w:highlight w:val="none"/>
        </w:rPr>
      </w:pPr>
      <w:bookmarkStart w:id="19" w:name="_Toc11709"/>
      <w:bookmarkStart w:id="20" w:name="_Toc11383"/>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19"/>
      <w:bookmarkEnd w:id="20"/>
    </w:p>
    <w:p w14:paraId="3B4A7203">
      <w:pPr>
        <w:shd w:val="clea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本表是本项目的具体要求，是对供应商须知的具体补充和修改，如有不一致，以本表为准。</w:t>
      </w:r>
    </w:p>
    <w:tbl>
      <w:tblPr>
        <w:tblStyle w:val="25"/>
        <w:tblW w:w="51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1931"/>
        <w:gridCol w:w="7294"/>
      </w:tblGrid>
      <w:tr w14:paraId="6D1C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0" w:type="pct"/>
            <w:vAlign w:val="center"/>
          </w:tcPr>
          <w:p w14:paraId="0190120C">
            <w:pPr>
              <w:pStyle w:val="42"/>
              <w:widowControl w:val="0"/>
              <w:shd w:val="clear"/>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927" w:type="pct"/>
            <w:vAlign w:val="center"/>
          </w:tcPr>
          <w:p w14:paraId="01D2FF74">
            <w:pPr>
              <w:pStyle w:val="42"/>
              <w:widowControl w:val="0"/>
              <w:shd w:val="clear"/>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501" w:type="pct"/>
            <w:vAlign w:val="center"/>
          </w:tcPr>
          <w:p w14:paraId="34EC7C2D">
            <w:pPr>
              <w:pStyle w:val="42"/>
              <w:widowControl w:val="0"/>
              <w:shd w:val="clear"/>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5E9A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0" w:type="pct"/>
            <w:vAlign w:val="center"/>
          </w:tcPr>
          <w:p w14:paraId="5850AABE">
            <w:pPr>
              <w:pStyle w:val="43"/>
              <w:pBdr>
                <w:bottom w:val="none" w:color="auto" w:sz="0" w:space="0"/>
              </w:pBdr>
              <w:shd w:val="clea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bCs/>
                <w:color w:val="auto"/>
                <w:kern w:val="2"/>
                <w:highlight w:val="none"/>
              </w:rPr>
              <w:t>5</w:t>
            </w:r>
            <w:r>
              <w:rPr>
                <w:bCs/>
                <w:color w:val="auto"/>
                <w:kern w:val="2"/>
                <w:highlight w:val="none"/>
              </w:rPr>
              <w:t>.</w:t>
            </w:r>
            <w:r>
              <w:rPr>
                <w:rFonts w:hint="eastAsia"/>
                <w:bCs/>
                <w:color w:val="auto"/>
                <w:kern w:val="2"/>
                <w:highlight w:val="none"/>
              </w:rPr>
              <w:t>2</w:t>
            </w:r>
          </w:p>
        </w:tc>
        <w:tc>
          <w:tcPr>
            <w:tcW w:w="927" w:type="pct"/>
            <w:vAlign w:val="center"/>
          </w:tcPr>
          <w:p w14:paraId="38B57E50">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kern w:val="2"/>
                <w:sz w:val="24"/>
                <w:szCs w:val="22"/>
                <w:highlight w:val="none"/>
              </w:rPr>
              <w:t>现场考察或标前答疑会</w:t>
            </w:r>
          </w:p>
        </w:tc>
        <w:tc>
          <w:tcPr>
            <w:tcW w:w="3501" w:type="pct"/>
            <w:vAlign w:val="center"/>
          </w:tcPr>
          <w:p w14:paraId="5FFD3788">
            <w:pPr>
              <w:shd w:val="clear"/>
              <w:spacing w:line="360" w:lineRule="auto"/>
              <w:rPr>
                <w:rFonts w:ascii="宋体" w:hAnsi="宋体" w:eastAsia="宋体"/>
                <w:bCs/>
                <w:color w:val="auto"/>
                <w:sz w:val="24"/>
                <w:highlight w:val="none"/>
              </w:rPr>
            </w:pPr>
            <w:r>
              <w:rPr>
                <w:rFonts w:hint="eastAsia" w:ascii="宋体" w:hAnsi="宋体" w:eastAsia="宋体"/>
                <w:bCs/>
                <w:color w:val="auto"/>
                <w:sz w:val="24"/>
                <w:szCs w:val="24"/>
                <w:highlight w:val="none"/>
              </w:rPr>
              <w:t>☑</w:t>
            </w:r>
            <w:r>
              <w:rPr>
                <w:rFonts w:hint="eastAsia" w:ascii="宋体" w:hAnsi="宋体" w:eastAsia="宋体"/>
                <w:color w:val="auto"/>
                <w:sz w:val="24"/>
                <w:highlight w:val="none"/>
              </w:rPr>
              <w:t>不组织或不召开</w:t>
            </w:r>
          </w:p>
          <w:p w14:paraId="3255E764">
            <w:pPr>
              <w:shd w:val="clear"/>
              <w:spacing w:line="360" w:lineRule="auto"/>
              <w:rPr>
                <w:rFonts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p>
          <w:p w14:paraId="14B61223">
            <w:pPr>
              <w:shd w:val="clea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2A7F0851">
            <w:pPr>
              <w:shd w:val="clea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7D3E31A0">
            <w:pPr>
              <w:shd w:val="clea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4B426FD5">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Cs w:val="0"/>
                <w:color w:val="auto"/>
                <w:sz w:val="24"/>
                <w:highlight w:val="none"/>
              </w:rPr>
              <w:t>注：如供应商未参加采购人统一组织的现场考察或采购人统一召开的标前答疑会，视同放弃现场考察或标前答疑会，由此引起的一切责任由供应商自行承担。</w:t>
            </w:r>
          </w:p>
        </w:tc>
      </w:tr>
      <w:tr w14:paraId="453F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0" w:type="pct"/>
            <w:vAlign w:val="center"/>
          </w:tcPr>
          <w:p w14:paraId="118AFE3C">
            <w:pPr>
              <w:pStyle w:val="43"/>
              <w:pBdr>
                <w:bottom w:val="none" w:color="auto" w:sz="0" w:space="0"/>
              </w:pBdr>
              <w:shd w:val="clea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6.1</w:t>
            </w:r>
          </w:p>
        </w:tc>
        <w:tc>
          <w:tcPr>
            <w:tcW w:w="927" w:type="pct"/>
            <w:vAlign w:val="center"/>
          </w:tcPr>
          <w:p w14:paraId="621914DB">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501" w:type="pct"/>
            <w:vAlign w:val="center"/>
          </w:tcPr>
          <w:p w14:paraId="6C3734EB">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2025</w:t>
            </w:r>
            <w:r>
              <w:rPr>
                <w:rFonts w:ascii="宋体" w:hAnsi="宋体" w:eastAsia="宋体"/>
                <w:b w:val="0"/>
                <w:color w:val="auto"/>
                <w:sz w:val="24"/>
                <w:highlight w:val="none"/>
              </w:rPr>
              <w:t>年</w:t>
            </w:r>
            <w:r>
              <w:rPr>
                <w:rFonts w:hint="eastAsia" w:ascii="宋体" w:hAnsi="宋体" w:eastAsia="宋体"/>
                <w:b w:val="0"/>
                <w:color w:val="auto"/>
                <w:sz w:val="24"/>
                <w:highlight w:val="none"/>
                <w:u w:val="single"/>
              </w:rPr>
              <w:t>1</w:t>
            </w:r>
            <w:r>
              <w:rPr>
                <w:rFonts w:ascii="宋体" w:hAnsi="宋体" w:eastAsia="宋体"/>
                <w:b w:val="0"/>
                <w:color w:val="auto"/>
                <w:sz w:val="24"/>
                <w:highlight w:val="none"/>
              </w:rPr>
              <w:t>月</w:t>
            </w:r>
            <w:r>
              <w:rPr>
                <w:rFonts w:hint="eastAsia" w:ascii="宋体" w:hAnsi="宋体" w:eastAsia="宋体"/>
                <w:b w:val="0"/>
                <w:color w:val="auto"/>
                <w:sz w:val="24"/>
                <w:highlight w:val="none"/>
                <w:u w:val="single"/>
              </w:rPr>
              <w:t>20</w:t>
            </w:r>
            <w:r>
              <w:rPr>
                <w:rFonts w:ascii="宋体" w:hAnsi="宋体" w:eastAsia="宋体"/>
                <w:b w:val="0"/>
                <w:color w:val="auto"/>
                <w:sz w:val="24"/>
                <w:highlight w:val="none"/>
              </w:rPr>
              <w:t>日</w:t>
            </w:r>
            <w:r>
              <w:rPr>
                <w:rFonts w:hint="eastAsia" w:ascii="宋体" w:hAnsi="宋体" w:eastAsia="宋体"/>
                <w:b w:val="0"/>
                <w:color w:val="auto"/>
                <w:sz w:val="24"/>
                <w:highlight w:val="none"/>
                <w:u w:val="single"/>
              </w:rPr>
              <w:t>17</w:t>
            </w:r>
            <w:r>
              <w:rPr>
                <w:rFonts w:ascii="宋体" w:hAnsi="宋体" w:eastAsia="宋体"/>
                <w:b w:val="0"/>
                <w:color w:val="auto"/>
                <w:sz w:val="24"/>
                <w:highlight w:val="none"/>
              </w:rPr>
              <w:t>时</w:t>
            </w:r>
            <w:r>
              <w:rPr>
                <w:rFonts w:hint="eastAsia" w:ascii="宋体" w:hAnsi="宋体" w:eastAsia="宋体"/>
                <w:b w:val="0"/>
                <w:color w:val="auto"/>
                <w:sz w:val="24"/>
                <w:highlight w:val="none"/>
                <w:u w:val="single"/>
              </w:rPr>
              <w:t>30</w:t>
            </w:r>
            <w:r>
              <w:rPr>
                <w:rFonts w:hint="eastAsia" w:ascii="宋体" w:hAnsi="宋体" w:eastAsia="宋体"/>
                <w:b w:val="0"/>
                <w:color w:val="auto"/>
                <w:sz w:val="24"/>
                <w:highlight w:val="none"/>
              </w:rPr>
              <w:t>分；</w:t>
            </w:r>
            <w:r>
              <w:rPr>
                <w:rFonts w:hint="eastAsia" w:ascii="宋体" w:hAnsi="宋体" w:eastAsia="宋体"/>
                <w:bCs w:val="0"/>
                <w:color w:val="auto"/>
                <w:sz w:val="24"/>
                <w:highlight w:val="none"/>
              </w:rPr>
              <w:t>通过电子邮箱在线提出（电子邮箱地址：510074315@qq.com)</w:t>
            </w:r>
          </w:p>
        </w:tc>
      </w:tr>
      <w:tr w14:paraId="5B42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70" w:type="pct"/>
            <w:vAlign w:val="center"/>
          </w:tcPr>
          <w:p w14:paraId="1EBA2646">
            <w:pPr>
              <w:pStyle w:val="43"/>
              <w:pBdr>
                <w:bottom w:val="none" w:color="auto" w:sz="0" w:space="0"/>
              </w:pBdr>
              <w:shd w:val="clea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7</w:t>
            </w:r>
            <w:r>
              <w:rPr>
                <w:rFonts w:ascii="宋体" w:hAnsi="宋体" w:eastAsia="宋体"/>
                <w:bCs/>
                <w:color w:val="auto"/>
                <w:kern w:val="2"/>
                <w:highlight w:val="none"/>
              </w:rPr>
              <w:t>.1</w:t>
            </w:r>
          </w:p>
        </w:tc>
        <w:tc>
          <w:tcPr>
            <w:tcW w:w="927" w:type="pct"/>
            <w:vAlign w:val="center"/>
          </w:tcPr>
          <w:p w14:paraId="48991E4C">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501" w:type="pct"/>
            <w:vAlign w:val="center"/>
          </w:tcPr>
          <w:p w14:paraId="6636CB38">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ascii="宋体" w:hAnsi="宋体" w:eastAsia="宋体"/>
                <w:b w:val="0"/>
                <w:color w:val="auto"/>
                <w:sz w:val="24"/>
                <w:highlight w:val="none"/>
              </w:rPr>
              <w:t>不分包     □分为  个包</w:t>
            </w:r>
          </w:p>
          <w:p w14:paraId="35B53324">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供应商</w:t>
            </w:r>
            <w:r>
              <w:rPr>
                <w:rFonts w:hint="eastAsia" w:ascii="宋体" w:hAnsi="宋体" w:eastAsia="宋体"/>
                <w:b w:val="0"/>
                <w:bCs w:val="0"/>
                <w:color w:val="auto"/>
                <w:sz w:val="24"/>
                <w:szCs w:val="24"/>
                <w:highlight w:val="none"/>
              </w:rPr>
              <w:t>参加</w:t>
            </w:r>
            <w:r>
              <w:rPr>
                <w:rFonts w:hint="eastAsia" w:ascii="宋体" w:hAnsi="宋体" w:eastAsia="宋体"/>
                <w:b w:val="0"/>
                <w:color w:val="auto"/>
                <w:sz w:val="24"/>
                <w:highlight w:val="none"/>
              </w:rPr>
              <w:t>多个包磋商的成交</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2736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0" w:type="pct"/>
            <w:vAlign w:val="center"/>
          </w:tcPr>
          <w:p w14:paraId="6C2494A5">
            <w:pPr>
              <w:pStyle w:val="43"/>
              <w:pBdr>
                <w:bottom w:val="none" w:color="auto" w:sz="0" w:space="0"/>
              </w:pBdr>
              <w:shd w:val="clea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10</w:t>
            </w:r>
            <w:r>
              <w:rPr>
                <w:rFonts w:ascii="宋体" w:hAnsi="宋体" w:eastAsia="宋体"/>
                <w:bCs/>
                <w:color w:val="auto"/>
                <w:kern w:val="2"/>
                <w:highlight w:val="none"/>
              </w:rPr>
              <w:t>.1</w:t>
            </w:r>
          </w:p>
        </w:tc>
        <w:tc>
          <w:tcPr>
            <w:tcW w:w="927" w:type="pct"/>
            <w:vAlign w:val="center"/>
          </w:tcPr>
          <w:p w14:paraId="6435B681">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磋商保证金</w:t>
            </w:r>
          </w:p>
        </w:tc>
        <w:tc>
          <w:tcPr>
            <w:tcW w:w="3501" w:type="pct"/>
            <w:vAlign w:val="center"/>
          </w:tcPr>
          <w:p w14:paraId="02E97A64">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不收取</w:t>
            </w:r>
          </w:p>
        </w:tc>
      </w:tr>
      <w:tr w14:paraId="5159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0" w:type="pct"/>
            <w:vAlign w:val="center"/>
          </w:tcPr>
          <w:p w14:paraId="1B764737">
            <w:pPr>
              <w:pStyle w:val="43"/>
              <w:pBdr>
                <w:bottom w:val="none" w:color="auto" w:sz="0" w:space="0"/>
              </w:pBdr>
              <w:shd w:val="clea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11</w:t>
            </w:r>
            <w:r>
              <w:rPr>
                <w:rFonts w:ascii="宋体" w:hAnsi="宋体" w:eastAsia="宋体"/>
                <w:bCs/>
                <w:color w:val="auto"/>
                <w:kern w:val="2"/>
                <w:highlight w:val="none"/>
              </w:rPr>
              <w:t>.1</w:t>
            </w:r>
          </w:p>
        </w:tc>
        <w:tc>
          <w:tcPr>
            <w:tcW w:w="927" w:type="pct"/>
            <w:vAlign w:val="center"/>
          </w:tcPr>
          <w:p w14:paraId="4FA57DDB">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磋商有效期</w:t>
            </w:r>
          </w:p>
        </w:tc>
        <w:tc>
          <w:tcPr>
            <w:tcW w:w="3501" w:type="pct"/>
            <w:vAlign w:val="center"/>
          </w:tcPr>
          <w:p w14:paraId="1E957E94">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120</w:t>
            </w:r>
            <w:r>
              <w:rPr>
                <w:rFonts w:hint="eastAsia" w:ascii="宋体" w:hAnsi="宋体" w:eastAsia="宋体"/>
                <w:b w:val="0"/>
                <w:color w:val="auto"/>
                <w:sz w:val="24"/>
                <w:highlight w:val="none"/>
              </w:rPr>
              <w:t>日历日</w:t>
            </w:r>
          </w:p>
        </w:tc>
      </w:tr>
      <w:tr w14:paraId="46F0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0" w:type="pct"/>
            <w:vAlign w:val="center"/>
          </w:tcPr>
          <w:p w14:paraId="209D5A21">
            <w:pPr>
              <w:pStyle w:val="43"/>
              <w:pBdr>
                <w:bottom w:val="none" w:color="auto" w:sz="0" w:space="0"/>
              </w:pBdr>
              <w:shd w:val="clear"/>
              <w:tabs>
                <w:tab w:val="clear" w:pos="4153"/>
                <w:tab w:val="clear" w:pos="8306"/>
              </w:tabs>
              <w:adjustRightInd/>
              <w:spacing w:line="360" w:lineRule="auto"/>
              <w:textAlignment w:val="auto"/>
              <w:rPr>
                <w:rFonts w:ascii="宋体" w:hAnsi="宋体" w:eastAsia="宋体"/>
                <w:bCs/>
                <w:color w:val="auto"/>
                <w:kern w:val="2"/>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2.</w:t>
            </w:r>
            <w:r>
              <w:rPr>
                <w:rFonts w:asciiTheme="minorEastAsia" w:hAnsiTheme="minorEastAsia" w:eastAsiaTheme="minorEastAsia"/>
                <w:color w:val="auto"/>
                <w:highlight w:val="none"/>
              </w:rPr>
              <w:t>3</w:t>
            </w:r>
          </w:p>
        </w:tc>
        <w:tc>
          <w:tcPr>
            <w:tcW w:w="927" w:type="pct"/>
            <w:vAlign w:val="center"/>
          </w:tcPr>
          <w:p w14:paraId="77507B07">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响应文件开启时间</w:t>
            </w:r>
          </w:p>
        </w:tc>
        <w:tc>
          <w:tcPr>
            <w:tcW w:w="3501" w:type="pct"/>
            <w:vAlign w:val="center"/>
          </w:tcPr>
          <w:p w14:paraId="2DDA586E">
            <w:pPr>
              <w:pStyle w:val="42"/>
              <w:widowControl w:val="0"/>
              <w:shd w:val="clear"/>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详见竞争性磋商公告</w:t>
            </w:r>
          </w:p>
        </w:tc>
      </w:tr>
      <w:tr w14:paraId="15C0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0" w:type="pct"/>
            <w:vAlign w:val="center"/>
          </w:tcPr>
          <w:p w14:paraId="2AE02EE6">
            <w:pPr>
              <w:pStyle w:val="43"/>
              <w:pBdr>
                <w:bottom w:val="none" w:color="auto" w:sz="0" w:space="0"/>
              </w:pBdr>
              <w:shd w:val="clea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14.3</w:t>
            </w:r>
          </w:p>
        </w:tc>
        <w:tc>
          <w:tcPr>
            <w:tcW w:w="927" w:type="pct"/>
            <w:vAlign w:val="center"/>
          </w:tcPr>
          <w:p w14:paraId="7C3634DD">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评审方法</w:t>
            </w:r>
          </w:p>
        </w:tc>
        <w:tc>
          <w:tcPr>
            <w:tcW w:w="3501" w:type="pct"/>
            <w:vAlign w:val="center"/>
          </w:tcPr>
          <w:p w14:paraId="31C5F754">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综合评分法</w:t>
            </w:r>
          </w:p>
        </w:tc>
      </w:tr>
      <w:tr w14:paraId="6E76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0" w:type="pct"/>
            <w:vAlign w:val="center"/>
          </w:tcPr>
          <w:p w14:paraId="0A57919D">
            <w:pPr>
              <w:pStyle w:val="43"/>
              <w:pBdr>
                <w:bottom w:val="none" w:color="auto" w:sz="0" w:space="0"/>
              </w:pBdr>
              <w:shd w:val="clea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17</w:t>
            </w:r>
            <w:r>
              <w:rPr>
                <w:rFonts w:ascii="宋体" w:hAnsi="宋体" w:eastAsia="宋体"/>
                <w:bCs/>
                <w:color w:val="auto"/>
                <w:kern w:val="2"/>
                <w:highlight w:val="none"/>
              </w:rPr>
              <w:t>.</w:t>
            </w:r>
            <w:r>
              <w:rPr>
                <w:rFonts w:hint="eastAsia" w:ascii="宋体" w:hAnsi="宋体" w:eastAsia="宋体"/>
                <w:bCs/>
                <w:color w:val="auto"/>
                <w:kern w:val="2"/>
                <w:highlight w:val="none"/>
              </w:rPr>
              <w:t>4</w:t>
            </w:r>
          </w:p>
        </w:tc>
        <w:tc>
          <w:tcPr>
            <w:tcW w:w="927" w:type="pct"/>
            <w:vAlign w:val="center"/>
          </w:tcPr>
          <w:p w14:paraId="1399E9CD">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最后报价扣除</w:t>
            </w:r>
          </w:p>
          <w:p w14:paraId="4B337F85">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i/>
                <w:color w:val="auto"/>
                <w:sz w:val="24"/>
                <w:highlight w:val="none"/>
              </w:rPr>
              <w:t>（非专门面向中小企业采购项目适用）</w:t>
            </w:r>
          </w:p>
        </w:tc>
        <w:tc>
          <w:tcPr>
            <w:tcW w:w="3501" w:type="pct"/>
            <w:vAlign w:val="center"/>
          </w:tcPr>
          <w:p w14:paraId="371E4F0C">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rPr>
              <w:t>/%</w:t>
            </w:r>
            <w:r>
              <w:rPr>
                <w:rFonts w:hint="eastAsia" w:ascii="宋体" w:hAnsi="宋体" w:eastAsia="宋体"/>
                <w:b w:val="0"/>
                <w:color w:val="auto"/>
                <w:sz w:val="24"/>
                <w:highlight w:val="none"/>
              </w:rPr>
              <w:t>。</w:t>
            </w:r>
          </w:p>
          <w:p w14:paraId="5D757842">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single"/>
              </w:rPr>
              <w:t>同</w:t>
            </w:r>
            <w:r>
              <w:rPr>
                <w:rFonts w:ascii="宋体" w:hAnsi="宋体" w:eastAsia="宋体"/>
                <w:b w:val="0"/>
                <w:color w:val="auto"/>
                <w:sz w:val="24"/>
                <w:highlight w:val="none"/>
                <w:u w:val="single"/>
              </w:rPr>
              <w:t>小型和微型企业</w:t>
            </w:r>
            <w:r>
              <w:rPr>
                <w:rFonts w:hint="eastAsia" w:ascii="宋体" w:hAnsi="宋体" w:eastAsia="宋体"/>
                <w:b w:val="0"/>
                <w:color w:val="auto"/>
                <w:sz w:val="24"/>
                <w:highlight w:val="none"/>
              </w:rPr>
              <w:t>。</w:t>
            </w:r>
          </w:p>
          <w:p w14:paraId="669DBD2F">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single"/>
              </w:rPr>
              <w:t>同</w:t>
            </w:r>
            <w:r>
              <w:rPr>
                <w:rFonts w:ascii="宋体" w:hAnsi="宋体" w:eastAsia="宋体"/>
                <w:b w:val="0"/>
                <w:color w:val="auto"/>
                <w:sz w:val="24"/>
                <w:highlight w:val="none"/>
                <w:u w:val="single"/>
              </w:rPr>
              <w:t>小型和微型企业</w:t>
            </w:r>
            <w:r>
              <w:rPr>
                <w:rFonts w:hint="eastAsia" w:ascii="宋体" w:hAnsi="宋体" w:eastAsia="宋体"/>
                <w:b w:val="0"/>
                <w:color w:val="auto"/>
                <w:sz w:val="24"/>
                <w:highlight w:val="none"/>
              </w:rPr>
              <w:t>。</w:t>
            </w:r>
          </w:p>
          <w:p w14:paraId="0245C487">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rPr>
              <w:t>/</w:t>
            </w:r>
            <w:r>
              <w:rPr>
                <w:rFonts w:hint="eastAsia" w:ascii="宋体" w:hAnsi="宋体" w:eastAsia="宋体"/>
                <w:b w:val="0"/>
                <w:color w:val="auto"/>
                <w:sz w:val="24"/>
                <w:highlight w:val="none"/>
              </w:rPr>
              <w:t>。</w:t>
            </w:r>
          </w:p>
          <w:p w14:paraId="6ABB155A">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rPr>
              <w:t>/</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7D50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0" w:type="pct"/>
            <w:vMerge w:val="restart"/>
            <w:vAlign w:val="center"/>
          </w:tcPr>
          <w:p w14:paraId="181EDCF0">
            <w:pPr>
              <w:pStyle w:val="43"/>
              <w:pBdr>
                <w:bottom w:val="none" w:color="auto" w:sz="0" w:space="0"/>
              </w:pBdr>
              <w:shd w:val="clea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19</w:t>
            </w:r>
            <w:r>
              <w:rPr>
                <w:rFonts w:ascii="宋体" w:hAnsi="宋体" w:eastAsia="宋体"/>
                <w:bCs/>
                <w:color w:val="auto"/>
                <w:kern w:val="2"/>
                <w:highlight w:val="none"/>
              </w:rPr>
              <w:t>.</w:t>
            </w:r>
            <w:r>
              <w:rPr>
                <w:rFonts w:hint="eastAsia" w:ascii="宋体" w:hAnsi="宋体" w:eastAsia="宋体"/>
                <w:bCs/>
                <w:color w:val="auto"/>
                <w:kern w:val="2"/>
                <w:highlight w:val="none"/>
              </w:rPr>
              <w:t>1</w:t>
            </w:r>
          </w:p>
          <w:p w14:paraId="1E7B6508">
            <w:pPr>
              <w:pStyle w:val="43"/>
              <w:pBdr>
                <w:bottom w:val="none" w:color="auto" w:sz="0" w:space="0"/>
              </w:pBdr>
              <w:shd w:val="clear"/>
              <w:tabs>
                <w:tab w:val="clear" w:pos="4153"/>
                <w:tab w:val="clear" w:pos="8306"/>
              </w:tabs>
              <w:adjustRightInd/>
              <w:spacing w:line="360" w:lineRule="auto"/>
              <w:textAlignment w:val="auto"/>
              <w:rPr>
                <w:rFonts w:ascii="宋体" w:hAnsi="宋体" w:eastAsia="宋体"/>
                <w:bCs/>
                <w:color w:val="auto"/>
                <w:kern w:val="2"/>
                <w:highlight w:val="none"/>
              </w:rPr>
            </w:pPr>
          </w:p>
        </w:tc>
        <w:tc>
          <w:tcPr>
            <w:tcW w:w="927" w:type="pct"/>
            <w:vMerge w:val="restart"/>
            <w:vAlign w:val="center"/>
          </w:tcPr>
          <w:p w14:paraId="3D7556C9">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确定成交候选人和成交供应商</w:t>
            </w:r>
          </w:p>
        </w:tc>
        <w:tc>
          <w:tcPr>
            <w:tcW w:w="3501" w:type="pct"/>
            <w:vAlign w:val="center"/>
          </w:tcPr>
          <w:p w14:paraId="74ACFEE7">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磋商小组推荐成交候选人的</w:t>
            </w:r>
            <w:r>
              <w:rPr>
                <w:rFonts w:ascii="宋体" w:hAnsi="宋体" w:eastAsia="宋体"/>
                <w:b w:val="0"/>
                <w:color w:val="auto"/>
                <w:sz w:val="24"/>
                <w:highlight w:val="none"/>
              </w:rPr>
              <w:t>数量</w:t>
            </w:r>
            <w:r>
              <w:rPr>
                <w:rFonts w:hint="eastAsia" w:ascii="宋体" w:hAnsi="宋体" w:eastAsia="宋体"/>
                <w:b w:val="0"/>
                <w:color w:val="auto"/>
                <w:sz w:val="24"/>
                <w:highlight w:val="none"/>
              </w:rPr>
              <w:t>：3家及以上；</w:t>
            </w:r>
          </w:p>
          <w:p w14:paraId="3610A10E">
            <w:pPr>
              <w:pStyle w:val="42"/>
              <w:widowControl w:val="0"/>
              <w:shd w:val="clear"/>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注：法律、法规另有规定的，从其规定</w:t>
            </w:r>
          </w:p>
        </w:tc>
      </w:tr>
      <w:tr w14:paraId="1585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0" w:type="pct"/>
            <w:vMerge w:val="continue"/>
            <w:vAlign w:val="center"/>
          </w:tcPr>
          <w:p w14:paraId="363DA6AB">
            <w:pPr>
              <w:pStyle w:val="43"/>
              <w:pBdr>
                <w:bottom w:val="none" w:color="auto" w:sz="0" w:space="0"/>
              </w:pBdr>
              <w:shd w:val="clear"/>
              <w:tabs>
                <w:tab w:val="clear" w:pos="4153"/>
                <w:tab w:val="clear" w:pos="8306"/>
              </w:tabs>
              <w:adjustRightInd/>
              <w:spacing w:line="360" w:lineRule="auto"/>
              <w:textAlignment w:val="auto"/>
              <w:rPr>
                <w:rFonts w:ascii="宋体" w:hAnsi="宋体" w:eastAsia="宋体"/>
                <w:bCs/>
                <w:color w:val="auto"/>
                <w:kern w:val="2"/>
                <w:highlight w:val="none"/>
              </w:rPr>
            </w:pPr>
          </w:p>
        </w:tc>
        <w:tc>
          <w:tcPr>
            <w:tcW w:w="927" w:type="pct"/>
            <w:vMerge w:val="continue"/>
            <w:vAlign w:val="center"/>
          </w:tcPr>
          <w:p w14:paraId="7772C564">
            <w:pPr>
              <w:pStyle w:val="42"/>
              <w:widowControl w:val="0"/>
              <w:shd w:val="clear"/>
              <w:spacing w:before="0" w:beforeAutospacing="0" w:after="0" w:afterAutospacing="0" w:line="360" w:lineRule="auto"/>
              <w:rPr>
                <w:rFonts w:ascii="宋体" w:hAnsi="宋体" w:eastAsia="宋体"/>
                <w:b w:val="0"/>
                <w:color w:val="auto"/>
                <w:sz w:val="24"/>
                <w:highlight w:val="none"/>
              </w:rPr>
            </w:pPr>
          </w:p>
        </w:tc>
        <w:tc>
          <w:tcPr>
            <w:tcW w:w="3501" w:type="pct"/>
            <w:vAlign w:val="center"/>
          </w:tcPr>
          <w:p w14:paraId="6C7A39E0">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确定成交供应商：采购人确定</w:t>
            </w:r>
          </w:p>
        </w:tc>
      </w:tr>
      <w:tr w14:paraId="0515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0" w:type="pct"/>
            <w:vAlign w:val="center"/>
          </w:tcPr>
          <w:p w14:paraId="2D338E14">
            <w:pPr>
              <w:pStyle w:val="43"/>
              <w:pBdr>
                <w:bottom w:val="none" w:color="auto" w:sz="0" w:space="0"/>
              </w:pBdr>
              <w:shd w:val="clea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22</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927" w:type="pct"/>
            <w:vAlign w:val="center"/>
          </w:tcPr>
          <w:p w14:paraId="705F5C4D">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随成交结果公告同时公告的内容</w:t>
            </w:r>
          </w:p>
        </w:tc>
        <w:tc>
          <w:tcPr>
            <w:tcW w:w="3501" w:type="pct"/>
            <w:vAlign w:val="center"/>
          </w:tcPr>
          <w:p w14:paraId="6DFE0EED">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（1）中小企业声明函；</w:t>
            </w:r>
            <w:r>
              <w:rPr>
                <w:rFonts w:hint="eastAsia" w:ascii="宋体" w:hAnsi="宋体" w:eastAsia="宋体"/>
                <w:b w:val="0"/>
                <w:i/>
                <w:iCs/>
                <w:color w:val="auto"/>
                <w:sz w:val="24"/>
                <w:highlight w:val="none"/>
              </w:rPr>
              <w:t>（如有）</w:t>
            </w:r>
          </w:p>
          <w:p w14:paraId="7D1F5D7A">
            <w:pPr>
              <w:pStyle w:val="42"/>
              <w:widowControl w:val="0"/>
              <w:shd w:val="clear"/>
              <w:spacing w:before="0" w:beforeAutospacing="0" w:after="0" w:afterAutospacing="0" w:line="360" w:lineRule="auto"/>
              <w:jc w:val="both"/>
              <w:rPr>
                <w:rFonts w:ascii="宋体" w:hAnsi="宋体" w:eastAsia="宋体"/>
                <w:b w:val="0"/>
                <w:i/>
                <w:color w:val="auto"/>
                <w:sz w:val="24"/>
                <w:highlight w:val="none"/>
              </w:rPr>
            </w:pPr>
            <w:r>
              <w:rPr>
                <w:rFonts w:hint="eastAsia" w:ascii="宋体" w:hAnsi="宋体" w:eastAsia="宋体"/>
                <w:b w:val="0"/>
                <w:color w:val="auto"/>
                <w:sz w:val="24"/>
                <w:highlight w:val="none"/>
              </w:rPr>
              <w:t>（2）残疾人福利性单位声明函；</w:t>
            </w:r>
            <w:r>
              <w:rPr>
                <w:rFonts w:hint="eastAsia" w:ascii="宋体" w:hAnsi="宋体" w:eastAsia="宋体"/>
                <w:b w:val="0"/>
                <w:i/>
                <w:iCs/>
                <w:color w:val="auto"/>
                <w:sz w:val="24"/>
                <w:highlight w:val="none"/>
              </w:rPr>
              <w:t>（如有）</w:t>
            </w:r>
          </w:p>
          <w:p w14:paraId="18A65C54">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（3）因落实政府采购政策等原因进行价格扣除后中标（成交）供应商的评审报价；</w:t>
            </w:r>
          </w:p>
          <w:p w14:paraId="32567C6F">
            <w:pPr>
              <w:pStyle w:val="42"/>
              <w:widowControl w:val="0"/>
              <w:shd w:val="clear"/>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color w:val="auto"/>
                <w:sz w:val="24"/>
                <w:highlight w:val="none"/>
              </w:rPr>
              <w:t>（4）</w:t>
            </w:r>
            <w:r>
              <w:rPr>
                <w:rFonts w:hint="eastAsia" w:ascii="宋体" w:hAnsi="宋体" w:eastAsia="宋体"/>
                <w:b w:val="0"/>
                <w:color w:val="auto"/>
                <w:sz w:val="24"/>
                <w:highlight w:val="none"/>
                <w:u w:val="single"/>
              </w:rPr>
              <w:t>/</w:t>
            </w:r>
          </w:p>
        </w:tc>
      </w:tr>
      <w:tr w14:paraId="64D9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0" w:type="pct"/>
            <w:vAlign w:val="center"/>
          </w:tcPr>
          <w:p w14:paraId="2A23096F">
            <w:pPr>
              <w:pStyle w:val="43"/>
              <w:pBdr>
                <w:bottom w:val="none" w:color="auto" w:sz="0" w:space="0"/>
              </w:pBdr>
              <w:shd w:val="clea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23</w:t>
            </w:r>
            <w:r>
              <w:rPr>
                <w:rFonts w:ascii="宋体" w:hAnsi="宋体" w:eastAsia="宋体"/>
                <w:bCs/>
                <w:color w:val="auto"/>
                <w:kern w:val="2"/>
                <w:highlight w:val="none"/>
              </w:rPr>
              <w:t>.1</w:t>
            </w:r>
          </w:p>
        </w:tc>
        <w:tc>
          <w:tcPr>
            <w:tcW w:w="927" w:type="pct"/>
            <w:vAlign w:val="center"/>
          </w:tcPr>
          <w:p w14:paraId="626668D3">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成交通知书发出的形式</w:t>
            </w:r>
          </w:p>
        </w:tc>
        <w:tc>
          <w:tcPr>
            <w:tcW w:w="3501" w:type="pct"/>
            <w:vAlign w:val="center"/>
          </w:tcPr>
          <w:p w14:paraId="16376A5A">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 xml:space="preserve">□书面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rPr>
              <w:t>☑数据电文</w:t>
            </w:r>
          </w:p>
          <w:p w14:paraId="1A09E7EB">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特别提醒：本项目发布成交结果公告的同时，通过成交供应商递交响应文件的电子邮箱向成交供应商发出成交通知书。成交通知书发出视为已送达，供应商应主动登录电邮箱查询，采购人和采购代理机构不承担供应商未及时关注相关信息引发的相关责任。</w:t>
            </w:r>
          </w:p>
        </w:tc>
      </w:tr>
      <w:tr w14:paraId="0E6E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0" w:type="pct"/>
            <w:vAlign w:val="center"/>
          </w:tcPr>
          <w:p w14:paraId="40071992">
            <w:pPr>
              <w:pStyle w:val="43"/>
              <w:pBdr>
                <w:bottom w:val="none" w:color="auto" w:sz="0" w:space="0"/>
              </w:pBdr>
              <w:shd w:val="clea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cs="宋体"/>
                <w:bCs/>
                <w:color w:val="auto"/>
                <w:szCs w:val="24"/>
                <w:highlight w:val="none"/>
              </w:rPr>
              <w:t>24.1</w:t>
            </w:r>
          </w:p>
        </w:tc>
        <w:tc>
          <w:tcPr>
            <w:tcW w:w="927" w:type="pct"/>
            <w:vAlign w:val="center"/>
          </w:tcPr>
          <w:p w14:paraId="62BEE9BD">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告知磋商结果的形式</w:t>
            </w:r>
          </w:p>
        </w:tc>
        <w:tc>
          <w:tcPr>
            <w:tcW w:w="3501" w:type="pct"/>
            <w:vAlign w:val="center"/>
          </w:tcPr>
          <w:p w14:paraId="67F736C4">
            <w:pPr>
              <w:pStyle w:val="42"/>
              <w:widowControl w:val="0"/>
              <w:shd w:val="clear"/>
              <w:spacing w:before="0" w:beforeAutospacing="0" w:after="0" w:afterAutospacing="0" w:line="360" w:lineRule="auto"/>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☑供应商自行登录阜阳投资发展集团有限公司(http://www.fytfjt.com/)网站查看</w:t>
            </w:r>
          </w:p>
          <w:p w14:paraId="3CF45C2E">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w:t>
            </w:r>
            <w:r>
              <w:rPr>
                <w:rFonts w:hint="eastAsia" w:ascii="宋体" w:hAnsi="宋体" w:eastAsia="宋体"/>
                <w:b w:val="0"/>
                <w:color w:val="auto"/>
                <w:sz w:val="24"/>
                <w:highlight w:val="none"/>
              </w:rPr>
              <w:t>磋商现场告知</w:t>
            </w:r>
          </w:p>
          <w:p w14:paraId="22EFD68B">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w:t>
            </w:r>
            <w:r>
              <w:rPr>
                <w:rFonts w:hint="eastAsia" w:ascii="宋体" w:hAnsi="宋体" w:eastAsia="宋体"/>
                <w:color w:val="auto"/>
                <w:sz w:val="24"/>
                <w:highlight w:val="none"/>
                <w:u w:val="single"/>
              </w:rPr>
              <w:t>/</w:t>
            </w:r>
          </w:p>
        </w:tc>
      </w:tr>
      <w:tr w14:paraId="571E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0" w:type="pct"/>
            <w:vAlign w:val="center"/>
          </w:tcPr>
          <w:p w14:paraId="060CAC6A">
            <w:pPr>
              <w:pStyle w:val="43"/>
              <w:pBdr>
                <w:bottom w:val="none" w:color="auto" w:sz="0" w:space="0"/>
              </w:pBdr>
              <w:shd w:val="clea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25</w:t>
            </w:r>
            <w:r>
              <w:rPr>
                <w:rFonts w:ascii="宋体" w:hAnsi="宋体" w:eastAsia="宋体"/>
                <w:bCs/>
                <w:color w:val="auto"/>
                <w:kern w:val="2"/>
                <w:highlight w:val="none"/>
              </w:rPr>
              <w:t>.1</w:t>
            </w:r>
          </w:p>
        </w:tc>
        <w:tc>
          <w:tcPr>
            <w:tcW w:w="927" w:type="pct"/>
            <w:vAlign w:val="center"/>
          </w:tcPr>
          <w:p w14:paraId="4BFB7FD7">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501" w:type="pct"/>
          </w:tcPr>
          <w:p w14:paraId="1BFE4F1B">
            <w:pPr>
              <w:pStyle w:val="2"/>
              <w:shd w:val="clear"/>
              <w:spacing w:before="0" w:after="0" w:line="360" w:lineRule="auto"/>
              <w:rPr>
                <w:rFonts w:hint="default" w:eastAsia="@仿宋_GB2312"/>
                <w:color w:val="auto"/>
                <w:highlight w:val="none"/>
                <w:lang w:val="en-US" w:eastAsia="zh-CN"/>
              </w:rPr>
            </w:pPr>
            <w:r>
              <w:rPr>
                <w:rFonts w:hint="eastAsia"/>
                <w:color w:val="auto"/>
                <w:highlight w:val="none"/>
                <w:lang w:val="en-US" w:eastAsia="zh-CN"/>
              </w:rPr>
              <w:t>/</w:t>
            </w:r>
          </w:p>
        </w:tc>
      </w:tr>
      <w:tr w14:paraId="1F7F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0" w:type="pct"/>
            <w:vAlign w:val="center"/>
          </w:tcPr>
          <w:p w14:paraId="3CBDE3A1">
            <w:pPr>
              <w:pStyle w:val="43"/>
              <w:pBdr>
                <w:bottom w:val="none" w:color="auto" w:sz="0" w:space="0"/>
              </w:pBdr>
              <w:shd w:val="clea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26</w:t>
            </w:r>
            <w:r>
              <w:rPr>
                <w:rFonts w:ascii="宋体" w:hAnsi="宋体" w:eastAsia="宋体"/>
                <w:bCs/>
                <w:color w:val="auto"/>
                <w:kern w:val="2"/>
                <w:highlight w:val="none"/>
              </w:rPr>
              <w:t>.1</w:t>
            </w:r>
          </w:p>
        </w:tc>
        <w:tc>
          <w:tcPr>
            <w:tcW w:w="927" w:type="pct"/>
            <w:vAlign w:val="center"/>
          </w:tcPr>
          <w:p w14:paraId="73CC48CC">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代理费用</w:t>
            </w:r>
          </w:p>
        </w:tc>
        <w:tc>
          <w:tcPr>
            <w:tcW w:w="3501" w:type="pct"/>
            <w:vAlign w:val="center"/>
          </w:tcPr>
          <w:p w14:paraId="42D3A085">
            <w:pPr>
              <w:pStyle w:val="42"/>
              <w:widowControl w:val="0"/>
              <w:shd w:val="clear"/>
              <w:spacing w:before="0" w:beforeAutospacing="0" w:after="0" w:afterAutospacing="0" w:line="360" w:lineRule="auto"/>
              <w:jc w:val="both"/>
              <w:rPr>
                <w:rFonts w:ascii="宋体" w:hAnsi="宋体" w:eastAsia="宋体"/>
                <w:b w:val="0"/>
                <w:bCs w:val="0"/>
                <w:color w:val="auto"/>
                <w:sz w:val="24"/>
                <w:highlight w:val="none"/>
              </w:rPr>
            </w:pPr>
            <w:r>
              <w:rPr>
                <w:rFonts w:hint="eastAsia" w:ascii="宋体" w:hAnsi="宋体" w:eastAsia="宋体"/>
                <w:b w:val="0"/>
                <w:bCs w:val="0"/>
                <w:color w:val="auto"/>
                <w:sz w:val="24"/>
                <w:highlight w:val="none"/>
              </w:rPr>
              <w:t>本项目的下列费用由成交人支付。</w:t>
            </w:r>
          </w:p>
          <w:p w14:paraId="279D1297">
            <w:pPr>
              <w:pStyle w:val="42"/>
              <w:widowControl w:val="0"/>
              <w:shd w:val="clear"/>
              <w:spacing w:before="0" w:beforeAutospacing="0" w:after="0" w:afterAutospacing="0" w:line="360" w:lineRule="auto"/>
              <w:jc w:val="both"/>
              <w:rPr>
                <w:rFonts w:ascii="宋体" w:hAnsi="宋体" w:eastAsia="宋体"/>
                <w:b w:val="0"/>
                <w:bCs w:val="0"/>
                <w:color w:val="auto"/>
                <w:sz w:val="24"/>
                <w:highlight w:val="none"/>
              </w:rPr>
            </w:pPr>
            <w:r>
              <w:rPr>
                <w:rFonts w:hint="eastAsia" w:ascii="宋体" w:hAnsi="宋体" w:eastAsia="宋体"/>
                <w:b w:val="0"/>
                <w:bCs w:val="0"/>
                <w:color w:val="auto"/>
                <w:sz w:val="24"/>
                <w:highlight w:val="none"/>
              </w:rPr>
              <w:t>1、成交服务费：16797.00元（大写：壹万陆仟柒佰玖拾柒元整）</w:t>
            </w:r>
          </w:p>
          <w:p w14:paraId="11A10008">
            <w:pPr>
              <w:pStyle w:val="42"/>
              <w:widowControl w:val="0"/>
              <w:shd w:val="clear"/>
              <w:spacing w:before="0" w:beforeAutospacing="0" w:after="0" w:afterAutospacing="0" w:line="360" w:lineRule="auto"/>
              <w:jc w:val="both"/>
              <w:rPr>
                <w:rFonts w:ascii="宋体" w:hAnsi="宋体" w:eastAsia="宋体"/>
                <w:b w:val="0"/>
                <w:bCs w:val="0"/>
                <w:color w:val="auto"/>
                <w:sz w:val="24"/>
                <w:highlight w:val="none"/>
              </w:rPr>
            </w:pPr>
            <w:r>
              <w:rPr>
                <w:rFonts w:hint="eastAsia" w:ascii="宋体" w:hAnsi="宋体" w:eastAsia="宋体"/>
                <w:b w:val="0"/>
                <w:bCs w:val="0"/>
                <w:color w:val="auto"/>
                <w:sz w:val="24"/>
                <w:highlight w:val="none"/>
              </w:rPr>
              <w:t>注：</w:t>
            </w:r>
          </w:p>
          <w:p w14:paraId="44EB30F1">
            <w:pPr>
              <w:pStyle w:val="42"/>
              <w:widowControl w:val="0"/>
              <w:shd w:val="clear"/>
              <w:spacing w:before="0" w:beforeAutospacing="0" w:after="0" w:afterAutospacing="0" w:line="360" w:lineRule="auto"/>
              <w:jc w:val="both"/>
              <w:rPr>
                <w:rFonts w:ascii="宋体" w:hAnsi="宋体" w:eastAsia="宋体"/>
                <w:b w:val="0"/>
                <w:bCs w:val="0"/>
                <w:color w:val="auto"/>
                <w:sz w:val="24"/>
                <w:highlight w:val="none"/>
              </w:rPr>
            </w:pPr>
            <w:r>
              <w:rPr>
                <w:rFonts w:hint="eastAsia" w:ascii="宋体" w:hAnsi="宋体" w:eastAsia="宋体"/>
                <w:b w:val="0"/>
                <w:bCs w:val="0"/>
                <w:color w:val="auto"/>
                <w:sz w:val="24"/>
                <w:highlight w:val="none"/>
              </w:rPr>
              <w:t xml:space="preserve">以上费用不单独列出，响应供应商自行考虑在投标报价中，成交人领取成交通知书前支付以上费用，必须从企业账户转入阜阳市同创投资咨询管理有限公司账户。 </w:t>
            </w:r>
          </w:p>
          <w:p w14:paraId="7DB406D6">
            <w:pPr>
              <w:pStyle w:val="42"/>
              <w:widowControl w:val="0"/>
              <w:shd w:val="clear"/>
              <w:spacing w:before="0" w:beforeAutospacing="0" w:after="0" w:afterAutospacing="0" w:line="360" w:lineRule="auto"/>
              <w:jc w:val="both"/>
              <w:rPr>
                <w:rFonts w:ascii="宋体" w:hAnsi="宋体" w:eastAsia="宋体"/>
                <w:b w:val="0"/>
                <w:bCs w:val="0"/>
                <w:color w:val="auto"/>
                <w:sz w:val="24"/>
                <w:highlight w:val="none"/>
              </w:rPr>
            </w:pPr>
            <w:r>
              <w:rPr>
                <w:rFonts w:hint="eastAsia" w:ascii="宋体" w:hAnsi="宋体" w:eastAsia="宋体"/>
                <w:b w:val="0"/>
                <w:bCs w:val="0"/>
                <w:color w:val="auto"/>
                <w:sz w:val="24"/>
                <w:highlight w:val="none"/>
              </w:rPr>
              <w:t>收取方式：转账（转款时请备注：XXX项目采购代理费）</w:t>
            </w:r>
          </w:p>
          <w:p w14:paraId="29D29D80">
            <w:pPr>
              <w:pStyle w:val="42"/>
              <w:widowControl w:val="0"/>
              <w:shd w:val="clear"/>
              <w:spacing w:before="0" w:beforeAutospacing="0" w:after="0" w:afterAutospacing="0" w:line="360" w:lineRule="auto"/>
              <w:jc w:val="both"/>
              <w:rPr>
                <w:rFonts w:ascii="宋体" w:hAnsi="宋体" w:eastAsia="宋体"/>
                <w:b w:val="0"/>
                <w:bCs w:val="0"/>
                <w:color w:val="auto"/>
                <w:sz w:val="24"/>
                <w:highlight w:val="none"/>
              </w:rPr>
            </w:pPr>
            <w:r>
              <w:rPr>
                <w:rFonts w:hint="eastAsia" w:ascii="宋体" w:hAnsi="宋体" w:eastAsia="宋体"/>
                <w:b w:val="0"/>
                <w:bCs w:val="0"/>
                <w:color w:val="auto"/>
                <w:sz w:val="24"/>
                <w:highlight w:val="none"/>
              </w:rPr>
              <w:t>公司名称：阜阳市同创投资咨询管理有限公司</w:t>
            </w:r>
          </w:p>
          <w:p w14:paraId="76F7F7F6">
            <w:pPr>
              <w:pStyle w:val="42"/>
              <w:widowControl w:val="0"/>
              <w:shd w:val="clear"/>
              <w:spacing w:before="0" w:beforeAutospacing="0" w:after="0" w:afterAutospacing="0" w:line="360" w:lineRule="auto"/>
              <w:jc w:val="both"/>
              <w:rPr>
                <w:rFonts w:ascii="宋体" w:hAnsi="宋体" w:eastAsia="宋体"/>
                <w:b w:val="0"/>
                <w:bCs w:val="0"/>
                <w:color w:val="auto"/>
                <w:sz w:val="24"/>
                <w:highlight w:val="none"/>
              </w:rPr>
            </w:pPr>
            <w:r>
              <w:rPr>
                <w:rFonts w:hint="eastAsia" w:ascii="宋体" w:hAnsi="宋体" w:eastAsia="宋体"/>
                <w:b w:val="0"/>
                <w:bCs w:val="0"/>
                <w:color w:val="auto"/>
                <w:sz w:val="24"/>
                <w:highlight w:val="none"/>
              </w:rPr>
              <w:t>开户银行：阜阳颍东农村商业银行股份有限公司颍州路支行</w:t>
            </w:r>
          </w:p>
          <w:p w14:paraId="65906BDA">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highlight w:val="none"/>
              </w:rPr>
              <w:t xml:space="preserve">账号：2000 0614 2558 1030 0000 122 </w:t>
            </w:r>
          </w:p>
        </w:tc>
      </w:tr>
      <w:tr w14:paraId="6CEF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0" w:type="pct"/>
            <w:vAlign w:val="center"/>
          </w:tcPr>
          <w:p w14:paraId="3D53339B">
            <w:pPr>
              <w:pStyle w:val="43"/>
              <w:pBdr>
                <w:bottom w:val="none" w:color="auto" w:sz="0" w:space="0"/>
              </w:pBdr>
              <w:shd w:val="clea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27.1</w:t>
            </w:r>
          </w:p>
        </w:tc>
        <w:tc>
          <w:tcPr>
            <w:tcW w:w="927" w:type="pct"/>
            <w:vAlign w:val="center"/>
          </w:tcPr>
          <w:p w14:paraId="0114A79E">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签订合同和合同公告时间</w:t>
            </w:r>
          </w:p>
        </w:tc>
        <w:tc>
          <w:tcPr>
            <w:tcW w:w="3501" w:type="pct"/>
            <w:vAlign w:val="center"/>
          </w:tcPr>
          <w:p w14:paraId="6E4C4D71">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b w:val="0"/>
                <w:color w:val="auto"/>
                <w:sz w:val="24"/>
                <w:highlight w:val="none"/>
              </w:rPr>
              <w:t>（1）</w:t>
            </w:r>
            <w:r>
              <w:rPr>
                <w:rFonts w:hint="eastAsia" w:ascii="宋体" w:hAnsi="宋体" w:eastAsia="宋体"/>
                <w:b w:val="0"/>
                <w:color w:val="auto"/>
                <w:sz w:val="24"/>
                <w:highlight w:val="none"/>
              </w:rPr>
              <w:t>采购人与成交供应商应当自发出成交通知书之日起30日内签订合同，</w:t>
            </w:r>
            <w:r>
              <w:rPr>
                <w:rFonts w:ascii="宋体" w:hAnsi="宋体" w:eastAsia="宋体" w:cs="宋体"/>
                <w:b w:val="0"/>
                <w:color w:val="auto"/>
                <w:sz w:val="24"/>
                <w:szCs w:val="24"/>
                <w:highlight w:val="none"/>
              </w:rPr>
              <w:t>采购人与</w:t>
            </w:r>
            <w:r>
              <w:rPr>
                <w:rFonts w:hint="eastAsia" w:ascii="宋体" w:hAnsi="宋体" w:eastAsia="宋体"/>
                <w:b w:val="0"/>
                <w:color w:val="auto"/>
                <w:sz w:val="24"/>
                <w:highlight w:val="none"/>
              </w:rPr>
              <w:t>成交供应商</w:t>
            </w:r>
            <w:r>
              <w:rPr>
                <w:rFonts w:ascii="宋体" w:hAnsi="宋体" w:eastAsia="宋体" w:cs="宋体"/>
                <w:b w:val="0"/>
                <w:color w:val="auto"/>
                <w:sz w:val="24"/>
                <w:szCs w:val="24"/>
                <w:highlight w:val="none"/>
              </w:rPr>
              <w:t>不得擅自变更合同。</w:t>
            </w:r>
          </w:p>
        </w:tc>
      </w:tr>
      <w:tr w14:paraId="1B72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0" w:type="pct"/>
            <w:vAlign w:val="center"/>
          </w:tcPr>
          <w:p w14:paraId="32ADD695">
            <w:pPr>
              <w:pStyle w:val="43"/>
              <w:pBdr>
                <w:bottom w:val="none" w:color="auto" w:sz="0" w:space="0"/>
              </w:pBdr>
              <w:shd w:val="clea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29</w:t>
            </w:r>
            <w:r>
              <w:rPr>
                <w:rFonts w:ascii="宋体" w:hAnsi="宋体" w:eastAsia="宋体"/>
                <w:bCs/>
                <w:color w:val="auto"/>
                <w:kern w:val="2"/>
                <w:highlight w:val="none"/>
              </w:rPr>
              <w:t>.</w:t>
            </w:r>
            <w:r>
              <w:rPr>
                <w:rFonts w:hint="eastAsia" w:ascii="宋体" w:hAnsi="宋体" w:eastAsia="宋体"/>
                <w:bCs/>
                <w:color w:val="auto"/>
                <w:kern w:val="2"/>
                <w:highlight w:val="none"/>
              </w:rPr>
              <w:t>3</w:t>
            </w:r>
          </w:p>
        </w:tc>
        <w:tc>
          <w:tcPr>
            <w:tcW w:w="927" w:type="pct"/>
            <w:vAlign w:val="center"/>
          </w:tcPr>
          <w:p w14:paraId="2849A35C">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501" w:type="pct"/>
            <w:vAlign w:val="center"/>
          </w:tcPr>
          <w:p w14:paraId="3FDF0EAF">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（1）通过电子邮箱在线提出（电子邮箱地址：510074315@qq.com)</w:t>
            </w:r>
          </w:p>
          <w:p w14:paraId="624BD84F">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（2）书面提出</w:t>
            </w:r>
          </w:p>
          <w:p w14:paraId="2AF5F1BF">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接收部门：阜阳市建投置业有限公司、阜阳市同创投资咨询管理有限公司</w:t>
            </w:r>
          </w:p>
          <w:p w14:paraId="00395782">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 xml:space="preserve">联系电话：0558-2553771、0558-2166193（备用电话0558-2166016） </w:t>
            </w:r>
          </w:p>
          <w:p w14:paraId="1522FCE5">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rPr>
              <w:t>安徽省阜阳市颍州区清河街道淮河路2000号建投大厦14楼1401室</w:t>
            </w:r>
            <w:r>
              <w:rPr>
                <w:rFonts w:hint="eastAsia" w:ascii="宋体" w:hAnsi="宋体" w:eastAsia="宋体"/>
                <w:b w:val="0"/>
                <w:bCs w:val="0"/>
                <w:color w:val="auto"/>
                <w:sz w:val="24"/>
                <w:highlight w:val="none"/>
              </w:rPr>
              <w:t>、</w:t>
            </w:r>
            <w:r>
              <w:rPr>
                <w:rFonts w:hint="eastAsia" w:ascii="宋体" w:hAnsi="宋体" w:eastAsia="宋体"/>
                <w:b w:val="0"/>
                <w:color w:val="auto"/>
                <w:sz w:val="24"/>
                <w:highlight w:val="none"/>
              </w:rPr>
              <w:t xml:space="preserve">阜阳市市民中心三楼6号厅 </w:t>
            </w:r>
          </w:p>
        </w:tc>
      </w:tr>
      <w:tr w14:paraId="0806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0" w:type="pct"/>
            <w:vAlign w:val="center"/>
          </w:tcPr>
          <w:p w14:paraId="5F150024">
            <w:pPr>
              <w:pStyle w:val="43"/>
              <w:pBdr>
                <w:bottom w:val="none" w:color="auto" w:sz="0" w:space="0"/>
              </w:pBdr>
              <w:shd w:val="clea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30</w:t>
            </w:r>
          </w:p>
        </w:tc>
        <w:tc>
          <w:tcPr>
            <w:tcW w:w="927" w:type="pct"/>
            <w:vAlign w:val="center"/>
          </w:tcPr>
          <w:p w14:paraId="34B1C07A">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3501" w:type="pct"/>
            <w:vAlign w:val="center"/>
          </w:tcPr>
          <w:p w14:paraId="14D2B5AE">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1、解释权：</w:t>
            </w:r>
          </w:p>
          <w:p w14:paraId="53738D83">
            <w:pPr>
              <w:shd w:val="clea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文件的各个组成文件应互为解释，互为说明；</w:t>
            </w:r>
          </w:p>
          <w:p w14:paraId="3939ECC1">
            <w:pPr>
              <w:shd w:val="clea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50376386">
            <w:pPr>
              <w:shd w:val="clea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0E905A0A">
            <w:pPr>
              <w:shd w:val="clea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磋商及响应文件提交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竞争性磋商</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竞争性磋商公告、供应商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bookmarkStart w:id="106" w:name="_GoBack"/>
            <w:bookmarkEnd w:id="106"/>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24DF5328">
            <w:pPr>
              <w:pStyle w:val="42"/>
              <w:widowControl w:val="0"/>
              <w:shd w:val="clear"/>
              <w:spacing w:before="0" w:beforeAutospacing="0" w:after="0" w:afterAutospacing="0" w:line="360" w:lineRule="auto"/>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（5）</w:t>
            </w:r>
            <w:r>
              <w:rPr>
                <w:rFonts w:asciiTheme="minorEastAsia" w:hAnsiTheme="minorEastAsia" w:eastAsiaTheme="minorEastAsia"/>
                <w:b w:val="0"/>
                <w:color w:val="auto"/>
                <w:kern w:val="2"/>
                <w:sz w:val="24"/>
                <w:szCs w:val="24"/>
                <w:highlight w:val="none"/>
              </w:rPr>
              <w:t>按本款前述规定仍不能形成结论的，由</w:t>
            </w:r>
            <w:r>
              <w:rPr>
                <w:rFonts w:hint="eastAsia" w:asciiTheme="minorEastAsia" w:hAnsiTheme="minorEastAsia" w:eastAsiaTheme="minorEastAsia"/>
                <w:b w:val="0"/>
                <w:color w:val="auto"/>
                <w:kern w:val="2"/>
                <w:sz w:val="24"/>
                <w:szCs w:val="24"/>
                <w:highlight w:val="none"/>
              </w:rPr>
              <w:t>采购</w:t>
            </w:r>
            <w:r>
              <w:rPr>
                <w:rFonts w:asciiTheme="minorEastAsia" w:hAnsiTheme="minorEastAsia" w:eastAsiaTheme="minorEastAsia"/>
                <w:b w:val="0"/>
                <w:color w:val="auto"/>
                <w:kern w:val="2"/>
                <w:sz w:val="24"/>
                <w:szCs w:val="24"/>
                <w:highlight w:val="none"/>
              </w:rPr>
              <w:t>人负责解释。</w:t>
            </w:r>
          </w:p>
          <w:p w14:paraId="6AA165D2">
            <w:pPr>
              <w:pStyle w:val="42"/>
              <w:widowControl w:val="0"/>
              <w:shd w:val="clear"/>
              <w:spacing w:before="0" w:beforeAutospacing="0" w:after="0" w:afterAutospacing="0" w:line="360" w:lineRule="auto"/>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2、响应文件递交截止时间为止，递交响应文件的供应商不足3家的，或者评审过程中满足初审要求的供应商不足3家的，本次磋商采购将会终止。</w:t>
            </w:r>
          </w:p>
          <w:p w14:paraId="3AF3EE43">
            <w:pPr>
              <w:pStyle w:val="42"/>
              <w:widowControl w:val="0"/>
              <w:shd w:val="clear"/>
              <w:spacing w:before="0" w:beforeAutospacing="0" w:after="0" w:afterAutospacing="0" w:line="360" w:lineRule="auto"/>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3、本项目交由采购人代为采购，如后续采购人下属新项目公司成立，则由新项目公司参照本采购文件中的合同模板与成交人签订服务合同，对成交人服务进行考核及管理，中标人须服从，并按照考核结果对应处罚标准扣除相应的服务费用或履行保证金。如有违反情节严重时，采购人有权终止合同，造成的影响和损失由成交人承担，履约保证金不予退还。</w:t>
            </w:r>
          </w:p>
        </w:tc>
      </w:tr>
    </w:tbl>
    <w:p w14:paraId="02AB6FC6">
      <w:pPr>
        <w:shd w:val="clear"/>
        <w:spacing w:line="360" w:lineRule="auto"/>
        <w:jc w:val="center"/>
        <w:outlineLvl w:val="1"/>
        <w:rPr>
          <w:rFonts w:ascii="宋体" w:hAnsi="宋体" w:eastAsia="宋体" w:cs="宋体"/>
          <w:b/>
          <w:color w:val="auto"/>
          <w:sz w:val="24"/>
          <w:highlight w:val="none"/>
        </w:rPr>
      </w:pPr>
      <w:r>
        <w:rPr>
          <w:rFonts w:asciiTheme="minorEastAsia" w:hAnsiTheme="minorEastAsia" w:eastAsiaTheme="minorEastAsia"/>
          <w:b/>
          <w:color w:val="auto"/>
          <w:sz w:val="28"/>
          <w:highlight w:val="none"/>
        </w:rPr>
        <w:br w:type="page"/>
      </w:r>
      <w:bookmarkStart w:id="21" w:name="_Toc18784"/>
      <w:bookmarkStart w:id="22" w:name="_Toc26858"/>
      <w:r>
        <w:rPr>
          <w:rFonts w:hint="eastAsia" w:ascii="宋体" w:hAnsi="宋体" w:eastAsia="宋体" w:cs="宋体"/>
          <w:b/>
          <w:color w:val="auto"/>
          <w:sz w:val="24"/>
          <w:highlight w:val="none"/>
        </w:rPr>
        <w:t>二、供应商须知正文</w:t>
      </w:r>
      <w:bookmarkEnd w:id="21"/>
      <w:bookmarkEnd w:id="22"/>
    </w:p>
    <w:p w14:paraId="17E57363">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1.采购人、采购代理机构及供应商</w:t>
      </w:r>
    </w:p>
    <w:p w14:paraId="37B5C906">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1.1采购人：本项目采购人详见供应商须知前附表。</w:t>
      </w:r>
    </w:p>
    <w:p w14:paraId="36CA05E1">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1.3采购监督管理部门：履行与本次采购活动有关的监督管理职责的部门。</w:t>
      </w:r>
    </w:p>
    <w:p w14:paraId="7B126641">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1.4供应商：是指向采购人提供货物、工程或者服务的法人、其他组织或者自然人。分支机构不得参加采购活动，但银行、保险、石油石化、电力、电信等特殊行业除外。本项目的供应商须满足以下条件：</w:t>
      </w:r>
    </w:p>
    <w:p w14:paraId="630463C1">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1.4.1具备《中华人民共和国政府采购法》第二十二条关于供应商条件的规定。</w:t>
      </w:r>
    </w:p>
    <w:p w14:paraId="06503BB8">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1.4.2以采购代理机构认可的方式获得了本项目的磋商文件。</w:t>
      </w:r>
    </w:p>
    <w:p w14:paraId="5C36E769">
      <w:pPr>
        <w:shd w:val="clear"/>
        <w:spacing w:line="360" w:lineRule="auto"/>
        <w:ind w:firstLine="435"/>
        <w:rPr>
          <w:rFonts w:ascii="宋体" w:hAnsi="宋体" w:eastAsia="宋体" w:cs="宋体"/>
          <w:color w:val="auto"/>
          <w:sz w:val="24"/>
          <w:highlight w:val="none"/>
        </w:rPr>
      </w:pPr>
      <w:r>
        <w:rPr>
          <w:rFonts w:hint="eastAsia" w:ascii="宋体" w:hAnsi="宋体" w:eastAsia="宋体" w:cs="宋体"/>
          <w:bCs/>
          <w:color w:val="auto"/>
          <w:sz w:val="24"/>
          <w:szCs w:val="28"/>
          <w:highlight w:val="none"/>
        </w:rPr>
        <w:t>1.5若竞争性磋商公告中允许联合体参加磋商，对联合体规定如下：</w:t>
      </w:r>
    </w:p>
    <w:p w14:paraId="2F1CAA40">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1.5.1两个以上供应商可以组成一个磋商联合体，以一个供应商的身份磋商。联合体参加磋商的，磋商文件获取手续由联合体中任一成员单位办理均可。</w:t>
      </w:r>
    </w:p>
    <w:p w14:paraId="728751AF">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1.5.2联合体各方均应符合《中华人民共和国政府采购法》第二十二条规定的条件。</w:t>
      </w:r>
    </w:p>
    <w:p w14:paraId="0633CC8C">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1.5.3采购人根据采购项目对供应商的特殊要求，联合体中至少应当有一方符合相关规定。</w:t>
      </w:r>
    </w:p>
    <w:p w14:paraId="6A03F273">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1.5.4联合体各方应签订联合协议，明确约定联合体各方承担的工作和相应的责任，并将联合协议作为响应文件的一部分提交。</w:t>
      </w:r>
    </w:p>
    <w:p w14:paraId="07B0CADD">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1.5.5大中型企业、其他自然人、法人或者非法人组织与小型、微型企业组成联合体共同参加磋商，联合协议中应写明小型、微型企业的协议合同金额占到联合协议合同总金额的比例。</w:t>
      </w:r>
    </w:p>
    <w:p w14:paraId="11C24F62">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1.5.6联合体中有同类资质的供应商按照联合体分工承担相同工作的，应当按照资质等级较低的供应商确定资质等级。</w:t>
      </w:r>
    </w:p>
    <w:p w14:paraId="1EAE4BB7">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1.5.7以联合体形式参加采购活动的，联合体各方不得再单独参加或者与其他供应商另外组成联合体参加本项目磋商，否则相关响应文件将被认定为</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04EE3297">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1.5.8对联合体参加磋商的其他资格要求见申请人的资格要求。</w:t>
      </w:r>
    </w:p>
    <w:p w14:paraId="555D0F6B">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2.资金落实情况</w:t>
      </w:r>
    </w:p>
    <w:p w14:paraId="500A01A4">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2.1本项目的采购人已获得足以支付本次磋商后所签订的合同项下的资金。</w:t>
      </w:r>
    </w:p>
    <w:p w14:paraId="0ECA8B9D">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3.磋商费用</w:t>
      </w:r>
    </w:p>
    <w:p w14:paraId="44AFBC18">
      <w:pPr>
        <w:shd w:val="clear"/>
        <w:spacing w:line="360" w:lineRule="auto"/>
        <w:ind w:firstLine="437"/>
        <w:rPr>
          <w:rFonts w:ascii="宋体" w:hAnsi="宋体" w:eastAsia="宋体" w:cs="宋体"/>
          <w:color w:val="auto"/>
          <w:sz w:val="24"/>
          <w:highlight w:val="none"/>
        </w:rPr>
      </w:pPr>
      <w:r>
        <w:rPr>
          <w:rFonts w:hint="eastAsia" w:ascii="宋体" w:hAnsi="宋体" w:eastAsia="宋体" w:cs="宋体"/>
          <w:color w:val="auto"/>
          <w:sz w:val="24"/>
          <w:highlight w:val="none"/>
        </w:rPr>
        <w:t>不论磋商的结果如何，供应商应承担其所有与准备和参加磋商有关的费用。</w:t>
      </w:r>
    </w:p>
    <w:p w14:paraId="4C60631A">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4.适用法律</w:t>
      </w:r>
    </w:p>
    <w:p w14:paraId="3B155E46">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本项目为非依法必须招标的项目（自主采招项目）。</w:t>
      </w:r>
    </w:p>
    <w:p w14:paraId="55A2CCC7">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5.磋商文件构成</w:t>
      </w:r>
    </w:p>
    <w:p w14:paraId="5CE5237F">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5.1磋商文件包括下列内容：</w:t>
      </w:r>
    </w:p>
    <w:p w14:paraId="1E571FD8">
      <w:pPr>
        <w:shd w:val="clear"/>
        <w:spacing w:line="360" w:lineRule="auto"/>
        <w:ind w:firstLine="840" w:firstLineChars="350"/>
        <w:rPr>
          <w:rFonts w:ascii="宋体" w:hAnsi="宋体" w:eastAsia="宋体" w:cs="宋体"/>
          <w:color w:val="auto"/>
          <w:sz w:val="24"/>
          <w:highlight w:val="none"/>
        </w:rPr>
      </w:pPr>
      <w:r>
        <w:rPr>
          <w:rFonts w:hint="eastAsia" w:ascii="宋体" w:hAnsi="宋体" w:eastAsia="宋体" w:cs="宋体"/>
          <w:color w:val="auto"/>
          <w:sz w:val="24"/>
          <w:highlight w:val="none"/>
        </w:rPr>
        <w:t>第一章  竞争性磋商公告</w:t>
      </w:r>
    </w:p>
    <w:p w14:paraId="383F304E">
      <w:pPr>
        <w:shd w:val="clear"/>
        <w:spacing w:line="360" w:lineRule="auto"/>
        <w:ind w:firstLine="840" w:firstLineChars="350"/>
        <w:rPr>
          <w:rFonts w:ascii="宋体" w:hAnsi="宋体" w:eastAsia="宋体" w:cs="宋体"/>
          <w:color w:val="auto"/>
          <w:sz w:val="24"/>
          <w:highlight w:val="none"/>
        </w:rPr>
      </w:pPr>
      <w:r>
        <w:rPr>
          <w:rFonts w:hint="eastAsia" w:ascii="宋体" w:hAnsi="宋体" w:eastAsia="宋体" w:cs="宋体"/>
          <w:color w:val="auto"/>
          <w:sz w:val="24"/>
          <w:highlight w:val="none"/>
        </w:rPr>
        <w:t>第二章  供应商须知</w:t>
      </w:r>
    </w:p>
    <w:p w14:paraId="442EF96E">
      <w:pPr>
        <w:shd w:val="clear"/>
        <w:spacing w:line="360" w:lineRule="auto"/>
        <w:ind w:firstLine="840" w:firstLineChars="350"/>
        <w:rPr>
          <w:rFonts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197228A0">
      <w:pPr>
        <w:shd w:val="clear"/>
        <w:spacing w:line="360" w:lineRule="auto"/>
        <w:ind w:firstLine="840" w:firstLineChars="350"/>
        <w:rPr>
          <w:rFonts w:ascii="宋体" w:hAnsi="宋体" w:eastAsia="宋体" w:cs="宋体"/>
          <w:color w:val="auto"/>
          <w:sz w:val="24"/>
          <w:highlight w:val="none"/>
        </w:rPr>
      </w:pPr>
      <w:r>
        <w:rPr>
          <w:rFonts w:hint="eastAsia" w:ascii="宋体" w:hAnsi="宋体" w:eastAsia="宋体" w:cs="宋体"/>
          <w:color w:val="auto"/>
          <w:sz w:val="24"/>
          <w:highlight w:val="none"/>
        </w:rPr>
        <w:t>第四章  评审方法和标准</w:t>
      </w:r>
    </w:p>
    <w:p w14:paraId="2621DF74">
      <w:pPr>
        <w:shd w:val="clear"/>
        <w:spacing w:line="360" w:lineRule="auto"/>
        <w:ind w:firstLine="840" w:firstLineChars="350"/>
        <w:rPr>
          <w:rFonts w:ascii="宋体" w:hAnsi="宋体" w:eastAsia="宋体" w:cs="宋体"/>
          <w:color w:val="auto"/>
          <w:sz w:val="24"/>
          <w:highlight w:val="none"/>
        </w:rPr>
      </w:pPr>
      <w:r>
        <w:rPr>
          <w:rFonts w:hint="eastAsia" w:ascii="宋体" w:hAnsi="宋体" w:eastAsia="宋体" w:cs="宋体"/>
          <w:color w:val="auto"/>
          <w:sz w:val="24"/>
          <w:highlight w:val="none"/>
        </w:rPr>
        <w:t>第五章  采购合同</w:t>
      </w:r>
    </w:p>
    <w:p w14:paraId="4837F9F3">
      <w:pPr>
        <w:shd w:val="clear"/>
        <w:spacing w:line="360" w:lineRule="auto"/>
        <w:ind w:firstLine="840" w:firstLineChars="350"/>
        <w:rPr>
          <w:rFonts w:ascii="宋体" w:hAnsi="宋体" w:eastAsia="宋体" w:cs="宋体"/>
          <w:color w:val="auto"/>
          <w:sz w:val="24"/>
          <w:highlight w:val="none"/>
        </w:rPr>
      </w:pPr>
      <w:r>
        <w:rPr>
          <w:rFonts w:hint="eastAsia" w:ascii="宋体" w:hAnsi="宋体" w:eastAsia="宋体" w:cs="宋体"/>
          <w:color w:val="auto"/>
          <w:sz w:val="24"/>
          <w:highlight w:val="none"/>
        </w:rPr>
        <w:t>第六章  响应文件格式</w:t>
      </w:r>
    </w:p>
    <w:p w14:paraId="521D5E20">
      <w:pPr>
        <w:shd w:val="clear"/>
        <w:spacing w:line="360" w:lineRule="auto"/>
        <w:ind w:firstLine="840" w:firstLineChars="350"/>
        <w:rPr>
          <w:rFonts w:ascii="宋体" w:hAnsi="宋体" w:eastAsia="宋体" w:cs="宋体"/>
          <w:color w:val="auto"/>
          <w:sz w:val="24"/>
          <w:highlight w:val="none"/>
        </w:rPr>
      </w:pPr>
      <w:r>
        <w:rPr>
          <w:rFonts w:hint="eastAsia" w:ascii="宋体" w:hAnsi="宋体" w:eastAsia="宋体" w:cs="宋体"/>
          <w:color w:val="auto"/>
          <w:sz w:val="24"/>
          <w:highlight w:val="none"/>
        </w:rPr>
        <w:t>第七章  政府采购供应商询问函和质疑函范本</w:t>
      </w:r>
    </w:p>
    <w:p w14:paraId="42576FA9">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5.2现场考察（标前答疑会）及相关事项见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w:t>
      </w:r>
    </w:p>
    <w:p w14:paraId="0D736213">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5.3供应商应认真阅读磋商文件所有的事项、格式、条款和技术规范等。</w:t>
      </w:r>
    </w:p>
    <w:p w14:paraId="430AB82C">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6.磋商文件的澄清与修改</w:t>
      </w:r>
    </w:p>
    <w:p w14:paraId="4E97D8A4">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6.1供应商如对磋商文件内容有疑问，必须在</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规定的网上询问截止时间前以网上提问形式（电子邮箱）提交给采购代理机构。</w:t>
      </w:r>
    </w:p>
    <w:p w14:paraId="3B250698">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6.2采购人可主动地或在答复供应商提出的询问时对磋商文件进行澄清与修改。采购代理机构将在</w:t>
      </w:r>
      <w:r>
        <w:rPr>
          <w:rFonts w:hint="eastAsia" w:ascii="宋体" w:hAnsi="宋体" w:eastAsia="宋体" w:cs="宋体"/>
          <w:color w:val="auto"/>
          <w:sz w:val="24"/>
          <w:szCs w:val="18"/>
          <w:highlight w:val="none"/>
        </w:rPr>
        <w:t>阜阳投资发展集团有限公司(http://www.fytfjt.com/)</w:t>
      </w:r>
      <w:r>
        <w:rPr>
          <w:rFonts w:hint="eastAsia" w:ascii="宋体" w:hAnsi="宋体" w:eastAsia="宋体" w:cs="宋体"/>
          <w:color w:val="auto"/>
          <w:sz w:val="24"/>
          <w:highlight w:val="none"/>
        </w:rPr>
        <w:t>发布更正公告的方式澄清或者修改磋商文件，更正公告的内容作为磋商文件的组成部分，对供应商起约束作用。供应商应主动上网查询。采购代理机构不承担供应商未及时关注相关信息引发的相关责任。</w:t>
      </w:r>
    </w:p>
    <w:p w14:paraId="779053C1">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6.3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1D8BE954">
      <w:pPr>
        <w:shd w:val="clear"/>
        <w:spacing w:line="360" w:lineRule="auto"/>
        <w:ind w:firstLine="435"/>
        <w:rPr>
          <w:rFonts w:ascii="宋体" w:hAnsi="宋体" w:eastAsia="宋体" w:cs="宋体"/>
          <w:iCs/>
          <w:color w:val="auto"/>
          <w:sz w:val="24"/>
          <w:highlight w:val="none"/>
        </w:rPr>
      </w:pPr>
      <w:r>
        <w:rPr>
          <w:rFonts w:hint="eastAsia" w:ascii="宋体" w:hAnsi="宋体" w:eastAsia="宋体" w:cs="宋体"/>
          <w:color w:val="auto"/>
          <w:sz w:val="24"/>
          <w:highlight w:val="none"/>
        </w:rPr>
        <w:t>6.4对于没有提出询问又参与了本项目磋商的供应商将被视为完全认同本磋商文件（含更正公告的内容）</w:t>
      </w:r>
      <w:r>
        <w:rPr>
          <w:rFonts w:hint="eastAsia" w:ascii="宋体" w:hAnsi="宋体" w:eastAsia="宋体" w:cs="宋体"/>
          <w:i/>
          <w:color w:val="auto"/>
          <w:sz w:val="24"/>
          <w:highlight w:val="none"/>
        </w:rPr>
        <w:t>。</w:t>
      </w:r>
    </w:p>
    <w:p w14:paraId="2AEDFAEE">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7.磋商范围及响应文件中标准和计量单位的使用</w:t>
      </w:r>
    </w:p>
    <w:p w14:paraId="5DD413CB">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7.1项目有分包的，供应商可参与其中某一个或多个分包的磋商，成交包数详见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中规定。</w:t>
      </w:r>
    </w:p>
    <w:p w14:paraId="05436A9F">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7.2无论磋商文件中是否要求，供应商所投货物及伴随的服务和工程均应符合国家强制性标准。</w:t>
      </w:r>
    </w:p>
    <w:p w14:paraId="3AED6B0B">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7.3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2460C254">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7.4除磋商文件中有特殊要求外，响应文件中所使用的计量单位，应采用中华人民共和国法定计量单位。</w:t>
      </w:r>
    </w:p>
    <w:p w14:paraId="64319EF6">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8.响应文件构成</w:t>
      </w:r>
    </w:p>
    <w:p w14:paraId="14C6DFA4">
      <w:pPr>
        <w:shd w:val="clear"/>
        <w:spacing w:line="360" w:lineRule="auto"/>
        <w:ind w:firstLine="437"/>
        <w:rPr>
          <w:rFonts w:ascii="宋体" w:hAnsi="宋体" w:eastAsia="宋体" w:cs="宋体"/>
          <w:color w:val="auto"/>
          <w:sz w:val="24"/>
          <w:highlight w:val="none"/>
        </w:rPr>
      </w:pPr>
      <w:r>
        <w:rPr>
          <w:rFonts w:hint="eastAsia" w:ascii="宋体" w:hAnsi="宋体" w:eastAsia="宋体" w:cs="宋体"/>
          <w:color w:val="auto"/>
          <w:sz w:val="24"/>
          <w:highlight w:val="none"/>
        </w:rPr>
        <w:t>8.1供应商应完整地按磋商文件提供的响应文件格式及要求编写响应文件，具体内容详见第六章响应文件格式的相关内容。</w:t>
      </w:r>
    </w:p>
    <w:p w14:paraId="2EC423B6">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8.2供应商应提交磋商文件要求的证明文件，证明其响应内容符合磋商文件规定。该证明文件是响应文件的一部分。证明文件形式可以是文字资料、图纸和数据</w:t>
      </w:r>
      <w:bookmarkStart w:id="23" w:name="_Hlk11703583"/>
      <w:r>
        <w:rPr>
          <w:rFonts w:hint="eastAsia" w:ascii="宋体" w:hAnsi="宋体" w:eastAsia="宋体" w:cs="宋体"/>
          <w:color w:val="auto"/>
          <w:sz w:val="24"/>
          <w:highlight w:val="none"/>
        </w:rPr>
        <w:t>。</w:t>
      </w:r>
      <w:bookmarkEnd w:id="23"/>
    </w:p>
    <w:p w14:paraId="1A506E84">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8.3为保证公平公正，除非磋商文件另有规定或说明，供应商对同一项目磋商时，不得同时提供备选磋商方案。</w:t>
      </w:r>
    </w:p>
    <w:p w14:paraId="18093EEA">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9.报价</w:t>
      </w:r>
    </w:p>
    <w:p w14:paraId="50DF780D">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9.1供应商的报价应当包括满足本次磋商全部内容。所有报价均应以人民币报价，供应商的磋商报价应遵守《中华人民共和国价格法》。</w:t>
      </w:r>
    </w:p>
    <w:p w14:paraId="3695D190">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9.2最后报价均不得高于磋商文件（公告）列明的项目预算、最高限价，否则其响应文件将被认定为</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6672D6F6">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9.3报价在合同履行过程中是固定不变的，不得以任何理由予以变更。任何包含价格调整要求的报价，其响应文件将被认定为</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4B47EFA7">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9.4采购人不接受具有附加条件的报价。</w:t>
      </w:r>
    </w:p>
    <w:p w14:paraId="5B634D4C">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10.磋商保证金</w:t>
      </w:r>
    </w:p>
    <w:p w14:paraId="311FD64B">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10.1本项目不收取磋商保证金。</w:t>
      </w:r>
    </w:p>
    <w:p w14:paraId="667A3D52">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11.磋商有效期</w:t>
      </w:r>
    </w:p>
    <w:p w14:paraId="2299B629">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11.1磋商有效期为从响应文件提交截止之日算起的日历天数，磋商有效期详见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w:t>
      </w:r>
    </w:p>
    <w:p w14:paraId="2DAA8DB7">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11.2在磋商有效期内，供应商的磋商保持有效，供应商不得要求撤销或修改其响应文件。磋商有效期不满足要求的响应，其响应文件将被认定为</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58D9A875">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11.3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3FCFBBC1">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12.响应文件的提交、修改与撤回</w:t>
      </w:r>
    </w:p>
    <w:p w14:paraId="05DBDE05">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12.1供应商应当在竞争性磋商公告规定的响应文件提交截止时间前，将响应文件在电子邮箱上传。</w:t>
      </w:r>
    </w:p>
    <w:p w14:paraId="43A8E0FA">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12.2供应商应当在响应文件提交截止时间前完成响应文件的传输提交（以接收到电子邮件为准），并可以补充、修改或者撤回响应文件。响应文件提交截止时间前未完成响应文件传输的，视为撤回响应文件。响应文件提交截止时间后送达的响应文件，采购人有权拒收。</w:t>
      </w:r>
    </w:p>
    <w:p w14:paraId="0F73326D">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12.3在响应文件提交截止时间之后，供应商不得对其响应文件做任何修改。但属于磋商小组在评审中发现的计算错误并进行核实的修改、按照磋商文件的变动情况和磋商小组的要求重新提交响应文件的，不在此列。</w:t>
      </w:r>
    </w:p>
    <w:p w14:paraId="54A5936F">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13.磋商小组</w:t>
      </w:r>
    </w:p>
    <w:p w14:paraId="368D155A">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13.1本项目将依法组建磋商小组，磋商小组成员由3人及以上单数组成，磋商小组及其成员应当参照政府采购的有关规定履行相关职责和义务。</w:t>
      </w:r>
    </w:p>
    <w:p w14:paraId="139E3AF0">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13.2磋商小组依法对响应文件进行评审，并根据磋商文件规定的程序、评定成交的标准等事项与实质性响应磋商文件要求的供应商进行磋商。</w:t>
      </w:r>
    </w:p>
    <w:p w14:paraId="455D59B1">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13.3磋商小组应当从质量和服务均能满足磋商文件实质性响应要求的供应商中，按照评审方法和标准推荐成交候选供应商，并编写评审报告。</w:t>
      </w:r>
    </w:p>
    <w:p w14:paraId="725BC90E">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14.响应文件的评审与磋商</w:t>
      </w:r>
    </w:p>
    <w:p w14:paraId="2C150FE9">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14.1采购人和采购代理机构将在竞争性磋商公告规定的时间和地点组织磋商。</w:t>
      </w:r>
    </w:p>
    <w:p w14:paraId="649F0FC8">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14.2竞争性磋商活动采用综合评分法评审。</w:t>
      </w:r>
    </w:p>
    <w:p w14:paraId="6218B357">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综合评分法，是指响应文件满足磋商文件全部实质性要求且按评审因素的量化指标评审得分最高的供应商为成交候选供应商的评审方法。</w:t>
      </w:r>
    </w:p>
    <w:p w14:paraId="50484C12">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14.3磋商小组将按照磋商文件规定的评审方法和标准对供应商独立进行评审。评审程序如下：</w:t>
      </w:r>
    </w:p>
    <w:p w14:paraId="6552F4BA">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14.3.1</w:t>
      </w:r>
      <w:r>
        <w:rPr>
          <w:rFonts w:hint="eastAsia" w:ascii="宋体" w:hAnsi="宋体" w:eastAsia="宋体" w:cs="宋体"/>
          <w:b/>
          <w:color w:val="auto"/>
          <w:sz w:val="24"/>
          <w:highlight w:val="none"/>
        </w:rPr>
        <w:t>初审</w:t>
      </w:r>
      <w:r>
        <w:rPr>
          <w:rFonts w:hint="eastAsia" w:ascii="宋体" w:hAnsi="宋体" w:eastAsia="宋体" w:cs="宋体"/>
          <w:color w:val="auto"/>
          <w:sz w:val="24"/>
          <w:highlight w:val="none"/>
        </w:rPr>
        <w:t>。磋商小组对供应商必须满足和实质性响应的内容进行评审，供应商未实质性响应磋商文件要求导致响应无效的，磋商小组将以书面询标的方式告知有关供应商。</w:t>
      </w:r>
    </w:p>
    <w:p w14:paraId="5157256C">
      <w:pPr>
        <w:shd w:val="clear"/>
        <w:spacing w:line="360" w:lineRule="auto"/>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57EA269">
      <w:pPr>
        <w:shd w:val="clear"/>
        <w:spacing w:line="360" w:lineRule="auto"/>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以联合体形式参加磋商的，联合体成员存在以上不良信用记录的，联合体磋商将被认定为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08E66860">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供应商不良信用记录以采购人或采购代理机构查询结果为准。在本采购文件规定的查询时间之外，网站信息发生的任何变更均不作为初审依据。供应商自行提供的与网站信息不一致的其他证明材料亦不作为初审依据。</w:t>
      </w:r>
    </w:p>
    <w:p w14:paraId="5C82A832">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14.3.2</w:t>
      </w:r>
      <w:r>
        <w:rPr>
          <w:rFonts w:hint="eastAsia" w:ascii="宋体" w:hAnsi="宋体" w:eastAsia="宋体" w:cs="宋体"/>
          <w:b/>
          <w:color w:val="auto"/>
          <w:sz w:val="24"/>
          <w:highlight w:val="none"/>
        </w:rPr>
        <w:t>磋商</w:t>
      </w:r>
      <w:r>
        <w:rPr>
          <w:rFonts w:hint="eastAsia" w:ascii="宋体" w:hAnsi="宋体" w:eastAsia="宋体" w:cs="宋体"/>
          <w:color w:val="auto"/>
          <w:sz w:val="24"/>
          <w:highlight w:val="none"/>
        </w:rPr>
        <w:t>。初审合格后，磋商小组将按网上电子响应文件提交顺序集中与单一供应商分别进行磋商，并给予所有参加磋商的供应商平等的磋商机会。</w:t>
      </w:r>
    </w:p>
    <w:p w14:paraId="00438DE7">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14.3.3</w:t>
      </w:r>
      <w:r>
        <w:rPr>
          <w:rFonts w:hint="eastAsia" w:ascii="宋体" w:hAnsi="宋体" w:eastAsia="宋体" w:cs="宋体"/>
          <w:b/>
          <w:color w:val="auto"/>
          <w:sz w:val="24"/>
          <w:highlight w:val="none"/>
        </w:rPr>
        <w:t>报价</w:t>
      </w:r>
      <w:r>
        <w:rPr>
          <w:rFonts w:hint="eastAsia" w:ascii="宋体" w:hAnsi="宋体" w:eastAsia="宋体" w:cs="宋体"/>
          <w:color w:val="auto"/>
          <w:sz w:val="24"/>
          <w:highlight w:val="none"/>
        </w:rPr>
        <w:t>。磋商结束后，磋商小组应当要求所有实质性响应的供应商在规定时间内提交最后报价。</w:t>
      </w:r>
    </w:p>
    <w:p w14:paraId="554348DF">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14.3.4</w:t>
      </w:r>
      <w:r>
        <w:rPr>
          <w:rFonts w:hint="eastAsia" w:ascii="宋体" w:hAnsi="宋体" w:eastAsia="宋体" w:cs="宋体"/>
          <w:b/>
          <w:color w:val="auto"/>
          <w:sz w:val="24"/>
          <w:highlight w:val="none"/>
        </w:rPr>
        <w:t>综合评分</w:t>
      </w:r>
      <w:r>
        <w:rPr>
          <w:rFonts w:hint="eastAsia" w:ascii="宋体" w:hAnsi="宋体" w:eastAsia="宋体" w:cs="宋体"/>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6BBCDD6B">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14.4相关说明。</w:t>
      </w:r>
    </w:p>
    <w:p w14:paraId="74F5EA3A">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 xml:space="preserve">14.4.1为保证磋商活动顺利进行，供应商可派相关技术人员进行网上答疑； </w:t>
      </w:r>
    </w:p>
    <w:p w14:paraId="5D1E6FCB">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14.4.2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0BBA769E">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宋体" w:hAnsi="宋体" w:eastAsia="宋体" w:cs="宋体"/>
          <w:b/>
          <w:color w:val="auto"/>
          <w:sz w:val="24"/>
          <w:highlight w:val="none"/>
        </w:rPr>
        <w:t>响应无效。</w:t>
      </w:r>
    </w:p>
    <w:p w14:paraId="3610E814">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14.4.4无论何种原因，即使供应商磋商时携带了证书材料的原件，但响应文件中未提供与之内容完全一致的扫描件的，磋商小组可以视同其未提供。</w:t>
      </w:r>
    </w:p>
    <w:p w14:paraId="30F73D3D">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14.4.5磋商小组决定响应文件的响应性及符合性只根据响应文件本身的内容，而不寻求其他外部证据。</w:t>
      </w:r>
    </w:p>
    <w:p w14:paraId="30B20AA9">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 xml:space="preserve">14.5供应商授权代表对磋商过程有疑义，以及认为采购人、采购代理机构相关工作人员有需要回避的情形的，应当场提出询问或者回避申请，并说明理由。 </w:t>
      </w:r>
    </w:p>
    <w:p w14:paraId="67298194">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15.终止竞争性磋商</w:t>
      </w:r>
    </w:p>
    <w:p w14:paraId="1BC8B398">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15.1出现下列情况之一时，采购人和采购代理机构有权宣布终止竞争性磋商采购，并将理由通知所有供应商：</w:t>
      </w:r>
    </w:p>
    <w:p w14:paraId="2AF2FFBE">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（1）有效供应商数量不足，导致本次磋商缺乏竞争的（包括：响应文件递交截止时间为止，递交响应文件的供应商不足3家的，评审过程中满足初审要求的供应商不足3家的）；</w:t>
      </w:r>
    </w:p>
    <w:p w14:paraId="132584F2">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02043817">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（3）因重大变故，采购任务取消的；</w:t>
      </w:r>
    </w:p>
    <w:p w14:paraId="625A9D09">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（4）法律法规及文件规定的其他情形。</w:t>
      </w:r>
    </w:p>
    <w:p w14:paraId="10D6605C">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16.响应文件的澄清、说明或更正</w:t>
      </w:r>
    </w:p>
    <w:p w14:paraId="1F0D4CB0">
      <w:pPr>
        <w:shd w:val="clea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16.1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2E9E9C25">
      <w:pPr>
        <w:shd w:val="clea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16.2磋商小组要求供应商澄清、说明或者更正响应文件应当以书面形式（询标）作出。供应商的澄清、说明或者更正应当由法定代表人或其授权代表签字或者加盖公章（公章）。</w:t>
      </w:r>
    </w:p>
    <w:p w14:paraId="2FE80A5D">
      <w:pPr>
        <w:shd w:val="clear"/>
        <w:spacing w:line="360" w:lineRule="auto"/>
        <w:ind w:firstLine="435"/>
        <w:rPr>
          <w:rFonts w:ascii="宋体" w:hAnsi="宋体" w:eastAsia="宋体" w:cs="宋体"/>
          <w:color w:val="auto"/>
          <w:sz w:val="24"/>
          <w:highlight w:val="none"/>
        </w:rPr>
      </w:pPr>
      <w:r>
        <w:rPr>
          <w:rFonts w:hint="eastAsia" w:ascii="宋体" w:hAnsi="宋体" w:eastAsia="宋体" w:cs="宋体"/>
          <w:b/>
          <w:color w:val="auto"/>
          <w:sz w:val="24"/>
          <w:highlight w:val="none"/>
        </w:rPr>
        <w:t>如有询标，授权代表（或法定代表人）可通过远程登录电子邮箱的方式接受网上询标，也可凭本人有效身份证明参加询标。因授权代表联系不上</w:t>
      </w:r>
      <w:r>
        <w:rPr>
          <w:rFonts w:hint="eastAsia" w:ascii="宋体" w:hAnsi="宋体" w:eastAsia="宋体" w:cs="宋体"/>
          <w:b/>
          <w:bCs/>
          <w:color w:val="auto"/>
          <w:sz w:val="24"/>
          <w:highlight w:val="none"/>
        </w:rPr>
        <w:t>、没有及时登录电子邮箱等情形</w:t>
      </w:r>
      <w:r>
        <w:rPr>
          <w:rFonts w:hint="eastAsia" w:ascii="宋体" w:hAnsi="宋体" w:eastAsia="宋体" w:cs="宋体"/>
          <w:b/>
          <w:color w:val="auto"/>
          <w:sz w:val="24"/>
          <w:highlight w:val="none"/>
        </w:rPr>
        <w:t>而无法接受谈判小组询标的，供应商自行承担相关风险。</w:t>
      </w:r>
    </w:p>
    <w:p w14:paraId="1D6AE4A7">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17.最后报价</w:t>
      </w:r>
    </w:p>
    <w:p w14:paraId="21FF9B64">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17.1磋商并不限定只进行二轮报价，如果磋商小组认为有必要，可以要求供应商进行多轮报价。</w:t>
      </w:r>
    </w:p>
    <w:p w14:paraId="5F44F138">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17.2在磋商内容不做实质性变更或重大调整的前提下，供应商下轮报价不得高于上一轮报价。</w:t>
      </w:r>
    </w:p>
    <w:p w14:paraId="5391367D">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17.3最后报价是供应商响应文件的有效组成部分，最后报价也是签订合同的依据。</w:t>
      </w:r>
    </w:p>
    <w:p w14:paraId="4B376D54">
      <w:pPr>
        <w:shd w:val="clear"/>
        <w:spacing w:line="360" w:lineRule="auto"/>
        <w:ind w:firstLine="435"/>
        <w:rPr>
          <w:rFonts w:ascii="宋体" w:hAnsi="宋体" w:eastAsia="宋体" w:cs="宋体"/>
          <w:color w:val="auto"/>
          <w:sz w:val="24"/>
          <w:highlight w:val="none"/>
        </w:rPr>
      </w:pPr>
      <w:bookmarkStart w:id="24" w:name="_Hlk60607655"/>
      <w:r>
        <w:rPr>
          <w:rFonts w:hint="eastAsia" w:ascii="宋体" w:hAnsi="宋体" w:eastAsia="宋体" w:cs="宋体"/>
          <w:color w:val="auto"/>
          <w:sz w:val="24"/>
          <w:highlight w:val="none"/>
        </w:rPr>
        <w:t>17.4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响应文件中提交了《中小企业声明函》、《残疾人福利性单位声明函》或省级以上监狱管理局、戒毒管理局（含新疆生产建设兵团）出具的属于监狱企业的证明文件的供应商，其最后报价按照</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中规定的标准扣除后的价格参与评审。对于同时属于小微企业、监狱企业或残疾人福利性单位的，不重复进行最后报价扣除。</w:t>
      </w:r>
    </w:p>
    <w:p w14:paraId="6AB90A9A">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最后报价按照</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5519D442">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以联合体形式参加采购活动，联合体各方均为中小企业的，联合体视同中小企业。其中，联合体各方均为小微企业的，联合体视同小微企业。</w:t>
      </w:r>
      <w:bookmarkEnd w:id="24"/>
    </w:p>
    <w:p w14:paraId="4065FDE2">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18.成交候选供应商的推荐原则及标准</w:t>
      </w:r>
    </w:p>
    <w:p w14:paraId="51CEF1A5">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18.1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05816A0B">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19.确定成交候选供应商和成交供应商</w:t>
      </w:r>
    </w:p>
    <w:p w14:paraId="3EF7A19D">
      <w:pPr>
        <w:shd w:val="clea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19.1磋商小组根据综合评分的结果和</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中规定确定成交候选供应商，并标明排列顺序。按</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中规定，由磋商小组或采购人确定成交供应商。</w:t>
      </w:r>
    </w:p>
    <w:p w14:paraId="36EBFB35">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20.编写评审报告</w:t>
      </w:r>
    </w:p>
    <w:p w14:paraId="4D5B12A4">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20.1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0A85C097">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21.保密要求</w:t>
      </w:r>
    </w:p>
    <w:p w14:paraId="2A72B6F8">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21.1评审将在严格保密的情况下进行。</w:t>
      </w:r>
    </w:p>
    <w:p w14:paraId="782D88C1">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21.2有关人员应当遵守评审工作纪律，不得泄露评审文件、评审情况和评审中获悉的国家秘密、商业秘密。</w:t>
      </w:r>
    </w:p>
    <w:p w14:paraId="6B89117B">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22.成交结果公告</w:t>
      </w:r>
    </w:p>
    <w:p w14:paraId="3018AEC3">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22.1为体现“公开、公平、公正”的原则，磋商结束后，采购代理机构将</w:t>
      </w:r>
      <w:r>
        <w:rPr>
          <w:rFonts w:hint="eastAsia" w:ascii="宋体" w:hAnsi="宋体" w:eastAsia="宋体" w:cs="宋体"/>
          <w:color w:val="auto"/>
          <w:sz w:val="24"/>
          <w:szCs w:val="18"/>
          <w:highlight w:val="none"/>
        </w:rPr>
        <w:t>在</w:t>
      </w:r>
      <w:r>
        <w:rPr>
          <w:rFonts w:hint="eastAsia" w:ascii="宋体" w:hAnsi="宋体" w:eastAsia="宋体" w:cs="宋体"/>
          <w:color w:val="auto"/>
          <w:sz w:val="24"/>
          <w:highlight w:val="none"/>
        </w:rPr>
        <w:t>阜阳投资发展集团有限公司(http://www.fytfjt.com/)上发布成交结果公告。</w:t>
      </w:r>
    </w:p>
    <w:p w14:paraId="4B231ED9">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22.2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中约定进行公告的内容。</w:t>
      </w:r>
    </w:p>
    <w:p w14:paraId="49E6FE2F">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23.成交通知书</w:t>
      </w:r>
    </w:p>
    <w:p w14:paraId="5B6D9C14">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23.1采购代理机构发布成交结果公告的同时以</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规定的形式向成交供应商发出成交通知书。</w:t>
      </w:r>
    </w:p>
    <w:p w14:paraId="77E6EE7F">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23.2成交通知书对采购人和成交供应商具有同等法律效力。成交通知书发出以后，采购人改变成交结果或者成交供应商放弃成交资格，应当承担相应的法律责任。</w:t>
      </w:r>
    </w:p>
    <w:p w14:paraId="6F360260">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23.3成交通知书是合同的组成部分。</w:t>
      </w:r>
    </w:p>
    <w:p w14:paraId="4FF5C6B9">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24.告知磋商结果</w:t>
      </w:r>
    </w:p>
    <w:p w14:paraId="4050C251">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24.1在公告成交结果的同时，采购代理机构同时以</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规定的形式告知未成交供应商本人的评审得分和排序。</w:t>
      </w:r>
    </w:p>
    <w:p w14:paraId="3D91BE57">
      <w:pPr>
        <w:shd w:val="clea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24.2采购代理机构对未成交的供应商不做未成交原因的解释。</w:t>
      </w:r>
    </w:p>
    <w:p w14:paraId="7FCA9EB7">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25.履约保证金</w:t>
      </w:r>
    </w:p>
    <w:p w14:paraId="30F5868C">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25.1成交供应商应按照</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规定缴纳履约保证金。</w:t>
      </w:r>
    </w:p>
    <w:p w14:paraId="249B80C6">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25.2如果成交供应商没有按照上述履约保证金的规定执行，将视为放弃成交资格。在此情况下，采购人可确定下一成交候选供应商为成交供应商，也可以重新开展采购活动。</w:t>
      </w:r>
    </w:p>
    <w:p w14:paraId="0B338EB6">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26.代理费用</w:t>
      </w:r>
    </w:p>
    <w:p w14:paraId="1365CE59">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26.1本项目代理费用的收取按</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的规定执行。</w:t>
      </w:r>
    </w:p>
    <w:p w14:paraId="77BEA872">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27.签订合同</w:t>
      </w:r>
    </w:p>
    <w:p w14:paraId="35F837E6">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27.1</w:t>
      </w:r>
      <w:r>
        <w:rPr>
          <w:rFonts w:hint="eastAsia" w:ascii="宋体" w:hAnsi="宋体" w:eastAsia="宋体" w:cs="宋体"/>
          <w:color w:val="auto"/>
          <w:sz w:val="24"/>
          <w:szCs w:val="24"/>
          <w:highlight w:val="none"/>
        </w:rPr>
        <w:t>采购人与成交供应商应当按照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规定的时间内完成采购合同签订及合同公告。</w:t>
      </w:r>
    </w:p>
    <w:p w14:paraId="58B4077C">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27.2磋商文件、成交供应商的响应文件及其澄清文件等，均为签订合同的依据。</w:t>
      </w:r>
    </w:p>
    <w:p w14:paraId="6B2BDE61">
      <w:pPr>
        <w:shd w:val="clea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27.3成交供应商拒绝与采购人签订合同的，采购人可以按照评审报告推荐的成交候选供应商名单排序，确定下一成交候选供应商为成交供应商，也可以重新开展采购活动。成交供应商拒绝签订采购合同的不得参加对该项目重新开展的采购活动。</w:t>
      </w:r>
    </w:p>
    <w:p w14:paraId="4E3BAFD4">
      <w:pPr>
        <w:shd w:val="clear"/>
        <w:spacing w:line="360" w:lineRule="auto"/>
        <w:ind w:firstLine="470" w:firstLineChars="196"/>
        <w:rPr>
          <w:rFonts w:ascii="宋体" w:hAnsi="宋体" w:eastAsia="宋体" w:cs="宋体"/>
          <w:color w:val="auto"/>
          <w:sz w:val="24"/>
          <w:highlight w:val="none"/>
        </w:rPr>
      </w:pPr>
      <w:bookmarkStart w:id="25" w:name="_Hlk60264926"/>
      <w:r>
        <w:rPr>
          <w:rFonts w:hint="eastAsia" w:ascii="宋体" w:hAnsi="宋体" w:eastAsia="宋体" w:cs="宋体"/>
          <w:color w:val="auto"/>
          <w:sz w:val="24"/>
          <w:highlight w:val="none"/>
        </w:rPr>
        <w:t>27.4依据《政府采购促进中小企业发展管理办法》（财库〔2020〕46号）规定享受扶持政策获得政府采购合同的，小微企业不得将合同分包给大中型企业，中型企业不得将合同分包给大型企业。</w:t>
      </w:r>
      <w:bookmarkEnd w:id="25"/>
    </w:p>
    <w:p w14:paraId="266FB811">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28.廉洁自律规定</w:t>
      </w:r>
    </w:p>
    <w:p w14:paraId="778014B7">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28.1采购代理机构工作人员不得以不正当手段获取采购代理业务，不得与采购人、供应商恶意串通。</w:t>
      </w:r>
    </w:p>
    <w:p w14:paraId="3350B315">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28.2采购代理机构工作人员不得接受采购人或者供应商组织的宴请、旅游、娱乐，不得收受礼品、现金、有价证券等，不得向采购人或者供应商报销应当由个人承担的费用。</w:t>
      </w:r>
    </w:p>
    <w:p w14:paraId="7D5A467D">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29.质疑的提出与接收</w:t>
      </w:r>
    </w:p>
    <w:p w14:paraId="0E796E3E">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29.1供应商认为磋商文件、采购过程和成交结果使自己的权益受到损害的，可以在知道或者应知其权益受到损害之日起七个工作日内，以书面形式向采购人或其委托的采购代理机构提出质疑。</w:t>
      </w:r>
    </w:p>
    <w:p w14:paraId="4B1D0CD2">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上述知道或者应知其权益受到损害之日，是指：（1）对采购文件提出质疑的，为采购文件公告期限届满之日；（2）对采购过程提出质疑的，为各采购程序环节结束之日；（3）对成交结果提出质疑的，为成交结果公告期限届满之日。</w:t>
      </w:r>
    </w:p>
    <w:p w14:paraId="6BFCBFFF">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29.2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6841A4B3">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29.3超出法定质疑期的、重复提出的、分次提出的或内容、形式不符合《政府采购质疑和投诉办法》的，质疑供应商将依法承担不利后果。</w:t>
      </w:r>
    </w:p>
    <w:p w14:paraId="50EA1726">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29.4采购代理机构质疑函接收部门、联系电话和通讯地址，见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w:t>
      </w:r>
    </w:p>
    <w:p w14:paraId="446A1908">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注：上述条款中所要求的书面形式包含通过电子邮箱递交方式。</w:t>
      </w:r>
    </w:p>
    <w:p w14:paraId="26328469">
      <w:pPr>
        <w:shd w:val="clear"/>
        <w:spacing w:line="360" w:lineRule="auto"/>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30.需要补充的其他内容</w:t>
      </w:r>
    </w:p>
    <w:p w14:paraId="7A9FC94D">
      <w:pPr>
        <w:shd w:val="clea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w:t>
      </w:r>
    </w:p>
    <w:p w14:paraId="25AC4B53">
      <w:pPr>
        <w:shd w:val="clear"/>
        <w:spacing w:line="360" w:lineRule="auto"/>
        <w:ind w:firstLine="437"/>
        <w:outlineLvl w:val="2"/>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1AB39212">
      <w:pPr>
        <w:shd w:val="clear"/>
        <w:spacing w:line="360" w:lineRule="auto"/>
        <w:jc w:val="center"/>
        <w:outlineLvl w:val="0"/>
        <w:rPr>
          <w:rFonts w:asciiTheme="minorEastAsia" w:hAnsiTheme="minorEastAsia" w:eastAsiaTheme="minorEastAsia"/>
          <w:b/>
          <w:color w:val="auto"/>
          <w:sz w:val="28"/>
          <w:highlight w:val="none"/>
        </w:rPr>
      </w:pPr>
      <w:bookmarkStart w:id="26" w:name="_Toc19440"/>
      <w:r>
        <w:rPr>
          <w:rFonts w:hint="eastAsia" w:asciiTheme="minorEastAsia" w:hAnsiTheme="minorEastAsia" w:eastAsiaTheme="minorEastAsia"/>
          <w:b/>
          <w:color w:val="auto"/>
          <w:sz w:val="28"/>
          <w:highlight w:val="none"/>
        </w:rPr>
        <w:t>第三章  采购需求</w:t>
      </w:r>
      <w:bookmarkEnd w:id="26"/>
    </w:p>
    <w:p w14:paraId="27736C9C">
      <w:pPr>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5821761B">
      <w:pPr>
        <w:shd w:val="clear"/>
        <w:spacing w:line="360" w:lineRule="auto"/>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1.本采购需求中提出的服务方案仅为参考，如无明确限制，供应商可以进行优化，提供满足采购人实际需要的更优（或者性能实质上不低于的）服务方案，且此方案须经磋商小组评审认可。</w:t>
      </w:r>
    </w:p>
    <w:p w14:paraId="3D991B1A">
      <w:pPr>
        <w:shd w:val="clea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2.下列采购需求中</w:t>
      </w:r>
      <w:r>
        <w:rPr>
          <w:rFonts w:ascii="宋体" w:hAnsi="宋体" w:eastAsia="宋体" w:cs="宋体"/>
          <w:color w:val="auto"/>
          <w:sz w:val="24"/>
          <w:szCs w:val="24"/>
          <w:highlight w:val="none"/>
        </w:rPr>
        <w:t>（包括但不限于下列具体政策要求</w:t>
      </w:r>
      <w:r>
        <w:rPr>
          <w:rFonts w:hint="eastAsia" w:ascii="宋体" w:hAnsi="宋体" w:eastAsia="宋体" w:cs="宋体"/>
          <w:color w:val="auto"/>
          <w:sz w:val="24"/>
          <w:szCs w:val="24"/>
          <w:highlight w:val="none"/>
        </w:rPr>
        <w:t>）</w:t>
      </w:r>
      <w:r>
        <w:rPr>
          <w:rFonts w:hint="eastAsia" w:ascii="宋体" w:hAnsi="宋体" w:eastAsia="宋体"/>
          <w:color w:val="auto"/>
          <w:sz w:val="24"/>
          <w:szCs w:val="18"/>
          <w:highlight w:val="none"/>
        </w:rPr>
        <w:t>：</w:t>
      </w:r>
    </w:p>
    <w:p w14:paraId="2D4343EF">
      <w:pPr>
        <w:shd w:val="clea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szCs w:val="18"/>
          <w:highlight w:val="none"/>
        </w:rPr>
        <w:t>3.如采购人允许采用分包方式履行合同的，应当明确可以分包履行的相关内容。</w:t>
      </w:r>
    </w:p>
    <w:p w14:paraId="0BBD71A6">
      <w:pPr>
        <w:shd w:val="clear"/>
        <w:spacing w:line="360" w:lineRule="auto"/>
        <w:ind w:firstLine="437"/>
        <w:outlineLvl w:val="1"/>
        <w:rPr>
          <w:rFonts w:ascii="宋体" w:hAnsi="宋体" w:eastAsia="宋体"/>
          <w:b/>
          <w:color w:val="auto"/>
          <w:sz w:val="24"/>
          <w:szCs w:val="18"/>
          <w:highlight w:val="none"/>
        </w:rPr>
      </w:pPr>
      <w:bookmarkStart w:id="27" w:name="_Toc7699"/>
      <w:bookmarkStart w:id="28" w:name="_Toc26349"/>
      <w:r>
        <w:rPr>
          <w:rFonts w:hint="eastAsia" w:ascii="宋体" w:hAnsi="宋体" w:eastAsia="宋体"/>
          <w:b/>
          <w:color w:val="auto"/>
          <w:sz w:val="24"/>
          <w:szCs w:val="18"/>
          <w:highlight w:val="none"/>
        </w:rPr>
        <w:t>一、采购需求前附表</w:t>
      </w:r>
      <w:bookmarkEnd w:id="27"/>
      <w:bookmarkEnd w:id="28"/>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417"/>
        <w:gridCol w:w="6524"/>
      </w:tblGrid>
      <w:tr w14:paraId="2B04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A4BF03F">
            <w:pPr>
              <w:pStyle w:val="43"/>
              <w:pBdr>
                <w:bottom w:val="none" w:color="auto" w:sz="0" w:space="0"/>
              </w:pBdr>
              <w:shd w:val="clear"/>
              <w:tabs>
                <w:tab w:val="clear" w:pos="4153"/>
                <w:tab w:val="clear" w:pos="8306"/>
              </w:tabs>
              <w:adjustRightInd/>
              <w:spacing w:line="240" w:lineRule="auto"/>
              <w:textAlignment w:val="auto"/>
              <w:rPr>
                <w:rFonts w:ascii="宋体" w:hAnsi="宋体" w:eastAsia="宋体"/>
                <w:b/>
                <w:color w:val="auto"/>
                <w:kern w:val="2"/>
                <w:highlight w:val="none"/>
              </w:rPr>
            </w:pPr>
            <w:bookmarkStart w:id="29" w:name="_Hlk16461016"/>
            <w:r>
              <w:rPr>
                <w:rFonts w:hint="eastAsia" w:ascii="宋体" w:hAnsi="宋体" w:eastAsia="宋体"/>
                <w:b/>
                <w:color w:val="auto"/>
                <w:kern w:val="2"/>
                <w:highlight w:val="none"/>
              </w:rPr>
              <w:t>序号</w:t>
            </w:r>
          </w:p>
        </w:tc>
        <w:tc>
          <w:tcPr>
            <w:tcW w:w="1192" w:type="pct"/>
            <w:vAlign w:val="center"/>
          </w:tcPr>
          <w:p w14:paraId="1BA6992F">
            <w:pPr>
              <w:pStyle w:val="42"/>
              <w:widowControl w:val="0"/>
              <w:shd w:val="clear"/>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4B4B3228">
            <w:pPr>
              <w:pStyle w:val="42"/>
              <w:widowControl w:val="0"/>
              <w:shd w:val="clear"/>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5643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CA6499C">
            <w:pPr>
              <w:pStyle w:val="43"/>
              <w:pBdr>
                <w:bottom w:val="none" w:color="auto" w:sz="0" w:space="0"/>
              </w:pBdr>
              <w:shd w:val="clea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4F2346DE">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55640E38">
            <w:pPr>
              <w:pStyle w:val="42"/>
              <w:widowControl w:val="0"/>
              <w:shd w:val="clear"/>
              <w:spacing w:before="0" w:beforeAutospacing="0" w:after="0" w:afterAutospacing="0" w:line="360" w:lineRule="auto"/>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月度咨询费=总合同造价*70%/服务月周期。</w:t>
            </w:r>
          </w:p>
          <w:p w14:paraId="62AAB705">
            <w:pPr>
              <w:pStyle w:val="42"/>
              <w:widowControl w:val="0"/>
              <w:shd w:val="clear"/>
              <w:spacing w:before="0" w:beforeAutospacing="0" w:after="0" w:afterAutospacing="0" w:line="360" w:lineRule="auto"/>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lang w:eastAsia="zh-CN"/>
              </w:rPr>
              <w:t>（</w:t>
            </w:r>
            <w:r>
              <w:rPr>
                <w:rFonts w:hint="eastAsia" w:ascii="宋体" w:hAnsi="宋体" w:eastAsia="宋体"/>
                <w:b w:val="0"/>
                <w:color w:val="auto"/>
                <w:sz w:val="24"/>
                <w:highlight w:val="none"/>
                <w:u w:val="single"/>
                <w:lang w:val="en-US" w:eastAsia="zh-CN"/>
              </w:rPr>
              <w:t>1</w:t>
            </w:r>
            <w:r>
              <w:rPr>
                <w:rFonts w:hint="eastAsia" w:ascii="宋体" w:hAnsi="宋体" w:eastAsia="宋体"/>
                <w:b w:val="0"/>
                <w:color w:val="auto"/>
                <w:sz w:val="24"/>
                <w:highlight w:val="none"/>
                <w:u w:val="single"/>
                <w:lang w:eastAsia="zh-CN"/>
              </w:rPr>
              <w:t>）</w:t>
            </w:r>
            <w:r>
              <w:rPr>
                <w:rFonts w:hint="eastAsia" w:ascii="宋体" w:hAnsi="宋体" w:eastAsia="宋体"/>
                <w:b w:val="0"/>
                <w:color w:val="auto"/>
                <w:sz w:val="24"/>
                <w:highlight w:val="none"/>
                <w:u w:val="single"/>
              </w:rPr>
              <w:t>咨询合同无预付款，月度咨询费=总合同造价*70%/服务月周期，根据月度考核情况浮动支付，另有合同金额30%待结算工作全部完成后支付；</w:t>
            </w:r>
          </w:p>
          <w:p w14:paraId="3BC6375B">
            <w:pPr>
              <w:pStyle w:val="42"/>
              <w:widowControl w:val="0"/>
              <w:shd w:val="clear"/>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u w:val="single"/>
                <w:lang w:eastAsia="zh-CN"/>
              </w:rPr>
              <w:t>（</w:t>
            </w:r>
            <w:r>
              <w:rPr>
                <w:rFonts w:hint="eastAsia" w:ascii="宋体" w:hAnsi="宋体" w:eastAsia="宋体"/>
                <w:b w:val="0"/>
                <w:color w:val="auto"/>
                <w:sz w:val="24"/>
                <w:highlight w:val="none"/>
                <w:u w:val="single"/>
                <w:lang w:val="en-US" w:eastAsia="zh-CN"/>
              </w:rPr>
              <w:t>2</w:t>
            </w:r>
            <w:r>
              <w:rPr>
                <w:rFonts w:hint="eastAsia" w:ascii="宋体" w:hAnsi="宋体" w:eastAsia="宋体"/>
                <w:b w:val="0"/>
                <w:color w:val="auto"/>
                <w:sz w:val="24"/>
                <w:highlight w:val="none"/>
                <w:u w:val="single"/>
                <w:lang w:eastAsia="zh-CN"/>
              </w:rPr>
              <w:t>）</w:t>
            </w:r>
            <w:r>
              <w:rPr>
                <w:rFonts w:hint="eastAsia" w:ascii="宋体" w:hAnsi="宋体" w:eastAsia="宋体"/>
                <w:b w:val="0"/>
                <w:color w:val="auto"/>
                <w:sz w:val="24"/>
                <w:highlight w:val="none"/>
                <w:u w:val="single"/>
              </w:rPr>
              <w:t>每次付款前，乙方须向甲方提出付款申请，并提供合法发票，以上所有项目付款之前，需按</w:t>
            </w:r>
            <w:r>
              <w:rPr>
                <w:rFonts w:hint="eastAsia" w:ascii="宋体" w:hAnsi="宋体" w:eastAsia="宋体"/>
                <w:b w:val="0"/>
                <w:color w:val="auto"/>
                <w:sz w:val="24"/>
                <w:highlight w:val="none"/>
                <w:u w:val="single"/>
                <w:lang w:val="en-US" w:eastAsia="zh-CN"/>
              </w:rPr>
              <w:t>甲方</w:t>
            </w:r>
            <w:r>
              <w:rPr>
                <w:rFonts w:hint="eastAsia" w:ascii="宋体" w:hAnsi="宋体" w:eastAsia="宋体"/>
                <w:b w:val="0"/>
                <w:color w:val="auto"/>
                <w:sz w:val="24"/>
                <w:highlight w:val="none"/>
                <w:u w:val="single"/>
              </w:rPr>
              <w:t>要求提供完所有报告资料，甲方确认后方可付款。</w:t>
            </w:r>
          </w:p>
        </w:tc>
      </w:tr>
      <w:tr w14:paraId="2AB4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8126980">
            <w:pPr>
              <w:pStyle w:val="43"/>
              <w:pBdr>
                <w:bottom w:val="none" w:color="auto" w:sz="0" w:space="0"/>
              </w:pBdr>
              <w:shd w:val="clea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0DE015D3">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217" w:type="pct"/>
            <w:vAlign w:val="center"/>
          </w:tcPr>
          <w:p w14:paraId="363DC880">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采购人指定地点。</w:t>
            </w:r>
          </w:p>
        </w:tc>
      </w:tr>
      <w:tr w14:paraId="4344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BF0C764">
            <w:pPr>
              <w:pStyle w:val="43"/>
              <w:pBdr>
                <w:bottom w:val="none" w:color="auto" w:sz="0" w:space="0"/>
              </w:pBdr>
              <w:shd w:val="clea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7D4F6DEB">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217" w:type="pct"/>
            <w:vAlign w:val="center"/>
          </w:tcPr>
          <w:p w14:paraId="3B40B42B">
            <w:pPr>
              <w:pStyle w:val="42"/>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48月（不含免费延期3个月）</w:t>
            </w:r>
            <w:r>
              <w:rPr>
                <w:rFonts w:hint="eastAsia" w:ascii="宋体" w:hAnsi="宋体" w:eastAsia="宋体"/>
                <w:b w:val="0"/>
                <w:color w:val="auto"/>
                <w:sz w:val="24"/>
                <w:highlight w:val="none"/>
                <w:u w:val="single"/>
              </w:rPr>
              <w:t>。</w:t>
            </w:r>
          </w:p>
        </w:tc>
      </w:tr>
      <w:tr w14:paraId="49C8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47D0F96">
            <w:pPr>
              <w:pStyle w:val="43"/>
              <w:pBdr>
                <w:bottom w:val="none" w:color="auto" w:sz="0" w:space="0"/>
              </w:pBdr>
              <w:shd w:val="clea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1192" w:type="pct"/>
            <w:vAlign w:val="center"/>
          </w:tcPr>
          <w:p w14:paraId="2B82AED3">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本项目采购标的名称及所属行业</w:t>
            </w:r>
          </w:p>
        </w:tc>
        <w:tc>
          <w:tcPr>
            <w:tcW w:w="3217" w:type="pct"/>
            <w:vAlign w:val="center"/>
          </w:tcPr>
          <w:p w14:paraId="0048E167">
            <w:pPr>
              <w:shd w:val="clear"/>
              <w:spacing w:line="360" w:lineRule="auto"/>
              <w:rPr>
                <w:rFonts w:ascii="宋体" w:hAnsi="宋体" w:eastAsiaTheme="minorEastAsia"/>
                <w:color w:val="auto"/>
                <w:sz w:val="24"/>
                <w:highlight w:val="none"/>
                <w:u w:val="single"/>
              </w:rPr>
            </w:pPr>
            <w:r>
              <w:rPr>
                <w:rFonts w:hint="eastAsia" w:asciiTheme="minorEastAsia" w:hAnsiTheme="minorEastAsia" w:eastAsiaTheme="minorEastAsia"/>
                <w:color w:val="auto"/>
                <w:sz w:val="24"/>
                <w:highlight w:val="none"/>
              </w:rPr>
              <w:t>/</w:t>
            </w:r>
          </w:p>
        </w:tc>
      </w:tr>
      <w:tr w14:paraId="6A79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6B0D4A6">
            <w:pPr>
              <w:pStyle w:val="43"/>
              <w:pBdr>
                <w:bottom w:val="none" w:color="auto" w:sz="0" w:space="0"/>
              </w:pBdr>
              <w:shd w:val="clear"/>
              <w:tabs>
                <w:tab w:val="clear" w:pos="4153"/>
                <w:tab w:val="clear" w:pos="8306"/>
              </w:tabs>
              <w:adjustRightInd/>
              <w:spacing w:line="240" w:lineRule="auto"/>
              <w:textAlignment w:val="auto"/>
              <w:rPr>
                <w:rFonts w:ascii="宋体" w:hAnsi="宋体" w:eastAsia="宋体"/>
                <w:bCs/>
                <w:color w:val="auto"/>
                <w:kern w:val="2"/>
                <w:highlight w:val="none"/>
              </w:rPr>
            </w:pPr>
            <w:bookmarkStart w:id="30" w:name="_Toc23116"/>
            <w:bookmarkStart w:id="31" w:name="_Toc25144"/>
            <w:r>
              <w:rPr>
                <w:rFonts w:hint="eastAsia" w:ascii="宋体" w:hAnsi="宋体" w:eastAsia="宋体"/>
                <w:bCs/>
                <w:color w:val="auto"/>
                <w:kern w:val="2"/>
                <w:highlight w:val="none"/>
              </w:rPr>
              <w:t>5</w:t>
            </w:r>
          </w:p>
        </w:tc>
        <w:tc>
          <w:tcPr>
            <w:tcW w:w="1192" w:type="pct"/>
            <w:vAlign w:val="center"/>
          </w:tcPr>
          <w:p w14:paraId="5F8AF90C">
            <w:pPr>
              <w:pStyle w:val="42"/>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质量标准</w:t>
            </w:r>
          </w:p>
        </w:tc>
        <w:tc>
          <w:tcPr>
            <w:tcW w:w="3217" w:type="pct"/>
            <w:vAlign w:val="center"/>
          </w:tcPr>
          <w:p w14:paraId="417652A7">
            <w:pPr>
              <w:shd w:val="clea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受委托完成的项目成果满足采购人及国家、省、阜阳市现行有关文件要求，符合国家相关标准规范。</w:t>
            </w:r>
          </w:p>
        </w:tc>
      </w:tr>
    </w:tbl>
    <w:p w14:paraId="2963DF71">
      <w:pPr>
        <w:shd w:val="clea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二、项目概况</w:t>
      </w:r>
      <w:bookmarkEnd w:id="30"/>
      <w:bookmarkEnd w:id="31"/>
    </w:p>
    <w:p w14:paraId="0C4CAB32">
      <w:pPr>
        <w:shd w:val="clear"/>
        <w:spacing w:line="360" w:lineRule="auto"/>
        <w:ind w:firstLine="437"/>
        <w:rPr>
          <w:rFonts w:ascii="宋体" w:hAnsi="宋体" w:eastAsia="宋体"/>
          <w:b/>
          <w:color w:val="auto"/>
          <w:sz w:val="24"/>
          <w:szCs w:val="18"/>
          <w:highlight w:val="none"/>
        </w:rPr>
      </w:pPr>
      <w:r>
        <w:rPr>
          <w:rFonts w:hint="eastAsia" w:ascii="宋体" w:hAnsi="宋体" w:eastAsia="宋体"/>
          <w:color w:val="auto"/>
          <w:sz w:val="24"/>
          <w:szCs w:val="18"/>
          <w:highlight w:val="none"/>
        </w:rPr>
        <w:t>项目总用地面积约120.99亩，总建筑面积约227093㎡，规划地上计容面积约169398㎡，包括但不限于住宅（含第四代住宅</w:t>
      </w:r>
      <w:r>
        <w:rPr>
          <w:rFonts w:hint="eastAsia" w:ascii="宋体" w:hAnsi="宋体" w:eastAsia="宋体"/>
          <w:color w:val="auto"/>
          <w:sz w:val="24"/>
          <w:szCs w:val="18"/>
          <w:highlight w:val="none"/>
          <w:lang w:eastAsia="zh-CN"/>
        </w:rPr>
        <w:t>，</w:t>
      </w:r>
      <w:r>
        <w:rPr>
          <w:rFonts w:hint="eastAsia" w:ascii="宋体" w:hAnsi="宋体" w:eastAsia="宋体"/>
          <w:color w:val="auto"/>
          <w:sz w:val="24"/>
          <w:szCs w:val="18"/>
          <w:highlight w:val="none"/>
          <w:lang w:val="en-US" w:eastAsia="zh-CN"/>
        </w:rPr>
        <w:t>即</w:t>
      </w:r>
      <w:r>
        <w:rPr>
          <w:rFonts w:hint="eastAsia" w:ascii="宋体" w:hAnsi="宋体" w:eastAsia="宋体"/>
          <w:color w:val="auto"/>
          <w:sz w:val="24"/>
          <w:szCs w:val="18"/>
          <w:highlight w:val="none"/>
          <w:lang w:eastAsia="zh-CN"/>
        </w:rPr>
        <w:t>“立体园林住宅建筑”</w:t>
      </w:r>
      <w:r>
        <w:rPr>
          <w:rFonts w:hint="eastAsia" w:ascii="宋体" w:hAnsi="宋体" w:eastAsia="宋体"/>
          <w:color w:val="auto"/>
          <w:sz w:val="24"/>
          <w:szCs w:val="18"/>
          <w:highlight w:val="none"/>
        </w:rPr>
        <w:t>。）及其配套用房、土建、暖通、装饰装修、配套建设道路、绿化、供配电、给排水、消防、人防、燃气、亮化、室外景观、智能化、停车场等设施。</w:t>
      </w:r>
    </w:p>
    <w:p w14:paraId="4FA75FAB">
      <w:pPr>
        <w:shd w:val="clear"/>
        <w:spacing w:line="360" w:lineRule="auto"/>
        <w:ind w:firstLine="437"/>
        <w:outlineLvl w:val="1"/>
        <w:rPr>
          <w:rFonts w:ascii="宋体" w:hAnsi="宋体" w:eastAsia="宋体"/>
          <w:b/>
          <w:color w:val="auto"/>
          <w:sz w:val="24"/>
          <w:szCs w:val="18"/>
          <w:highlight w:val="none"/>
        </w:rPr>
      </w:pPr>
      <w:bookmarkStart w:id="32" w:name="_Toc8586"/>
      <w:bookmarkStart w:id="33" w:name="_Toc21757"/>
      <w:r>
        <w:rPr>
          <w:rFonts w:hint="eastAsia" w:ascii="宋体" w:hAnsi="宋体" w:eastAsia="宋体"/>
          <w:b/>
          <w:color w:val="auto"/>
          <w:sz w:val="24"/>
          <w:szCs w:val="18"/>
          <w:highlight w:val="none"/>
        </w:rPr>
        <w:t>三、服务需求</w:t>
      </w:r>
      <w:bookmarkEnd w:id="32"/>
      <w:bookmarkEnd w:id="33"/>
    </w:p>
    <w:p w14:paraId="72EA7C22">
      <w:pPr>
        <w:shd w:val="clear"/>
        <w:spacing w:line="360" w:lineRule="auto"/>
        <w:ind w:firstLine="437"/>
        <w:outlineLvl w:val="1"/>
        <w:rPr>
          <w:rFonts w:ascii="宋体" w:hAnsi="宋体" w:eastAsia="宋体"/>
          <w:bCs/>
          <w:color w:val="auto"/>
          <w:sz w:val="24"/>
          <w:szCs w:val="18"/>
          <w:highlight w:val="none"/>
        </w:rPr>
      </w:pPr>
      <w:bookmarkStart w:id="34" w:name="_Toc18052"/>
      <w:bookmarkStart w:id="35" w:name="_Toc12910"/>
      <w:r>
        <w:rPr>
          <w:rFonts w:hint="eastAsia" w:ascii="宋体" w:hAnsi="宋体" w:eastAsia="宋体"/>
          <w:bCs/>
          <w:color w:val="auto"/>
          <w:sz w:val="24"/>
          <w:szCs w:val="18"/>
          <w:highlight w:val="none"/>
        </w:rPr>
        <w:t>包括但不限于规划方案、施工图设计、施工阶段、结算阶段范围内全部工程内容的全过程造价咨询服务。</w:t>
      </w:r>
    </w:p>
    <w:p w14:paraId="2DAE6C94">
      <w:pPr>
        <w:shd w:val="clear"/>
        <w:spacing w:line="360" w:lineRule="auto"/>
        <w:ind w:firstLine="437"/>
        <w:outlineLvl w:val="1"/>
        <w:rPr>
          <w:rFonts w:ascii="宋体" w:hAnsi="宋体" w:eastAsia="宋体"/>
          <w:bCs/>
          <w:color w:val="auto"/>
          <w:sz w:val="24"/>
          <w:szCs w:val="18"/>
          <w:highlight w:val="none"/>
        </w:rPr>
      </w:pPr>
      <w:r>
        <w:rPr>
          <w:rFonts w:hint="eastAsia" w:ascii="宋体" w:hAnsi="宋体" w:eastAsia="宋体"/>
          <w:bCs/>
          <w:color w:val="auto"/>
          <w:sz w:val="24"/>
          <w:szCs w:val="18"/>
          <w:highlight w:val="none"/>
        </w:rPr>
        <w:t>①方案设计阶段:</w:t>
      </w:r>
    </w:p>
    <w:p w14:paraId="6C22FB22">
      <w:pPr>
        <w:shd w:val="clear"/>
        <w:spacing w:line="360" w:lineRule="auto"/>
        <w:ind w:firstLine="437"/>
        <w:outlineLvl w:val="1"/>
        <w:rPr>
          <w:rFonts w:ascii="宋体" w:hAnsi="宋体" w:eastAsia="宋体"/>
          <w:bCs/>
          <w:color w:val="auto"/>
          <w:sz w:val="24"/>
          <w:szCs w:val="18"/>
          <w:highlight w:val="none"/>
        </w:rPr>
      </w:pPr>
      <w:r>
        <w:rPr>
          <w:rFonts w:hint="eastAsia" w:ascii="宋体" w:hAnsi="宋体" w:eastAsia="宋体"/>
          <w:bCs/>
          <w:color w:val="auto"/>
          <w:sz w:val="24"/>
          <w:szCs w:val="18"/>
          <w:highlight w:val="none"/>
        </w:rPr>
        <w:t>负责验证方案经济性指标；负责提供方案比选建议。</w:t>
      </w:r>
    </w:p>
    <w:p w14:paraId="0D70CF8A">
      <w:pPr>
        <w:shd w:val="clear"/>
        <w:spacing w:line="360" w:lineRule="auto"/>
        <w:ind w:firstLine="437"/>
        <w:outlineLvl w:val="1"/>
        <w:rPr>
          <w:rFonts w:ascii="宋体" w:hAnsi="宋体" w:eastAsia="宋体"/>
          <w:bCs/>
          <w:color w:val="auto"/>
          <w:sz w:val="24"/>
          <w:szCs w:val="18"/>
          <w:highlight w:val="none"/>
        </w:rPr>
      </w:pPr>
      <w:r>
        <w:rPr>
          <w:rFonts w:hint="eastAsia" w:ascii="宋体" w:hAnsi="宋体" w:eastAsia="宋体"/>
          <w:bCs/>
          <w:color w:val="auto"/>
          <w:sz w:val="24"/>
          <w:szCs w:val="18"/>
          <w:highlight w:val="none"/>
        </w:rPr>
        <w:t>②施工图设计前期阶段：</w:t>
      </w:r>
    </w:p>
    <w:p w14:paraId="140B1B5C">
      <w:pPr>
        <w:shd w:val="clear"/>
        <w:spacing w:line="360" w:lineRule="auto"/>
        <w:ind w:firstLine="437"/>
        <w:outlineLvl w:val="1"/>
        <w:rPr>
          <w:rFonts w:ascii="宋体" w:hAnsi="宋体" w:eastAsia="宋体"/>
          <w:bCs/>
          <w:color w:val="auto"/>
          <w:sz w:val="24"/>
          <w:szCs w:val="18"/>
          <w:highlight w:val="none"/>
        </w:rPr>
      </w:pPr>
      <w:r>
        <w:rPr>
          <w:rFonts w:hint="eastAsia" w:ascii="宋体" w:hAnsi="宋体" w:eastAsia="宋体"/>
          <w:bCs/>
          <w:color w:val="auto"/>
          <w:sz w:val="24"/>
          <w:szCs w:val="18"/>
          <w:highlight w:val="none"/>
        </w:rPr>
        <w:t>负责测算结构设计指标；负责与标杆企业建造标准对标；参与图纸会审，对图纸进行前置把关。</w:t>
      </w:r>
    </w:p>
    <w:p w14:paraId="214BFC92">
      <w:pPr>
        <w:shd w:val="clear"/>
        <w:spacing w:line="360" w:lineRule="auto"/>
        <w:ind w:firstLine="437"/>
        <w:outlineLvl w:val="1"/>
        <w:rPr>
          <w:rFonts w:ascii="宋体" w:hAnsi="宋体" w:eastAsia="宋体"/>
          <w:bCs/>
          <w:color w:val="auto"/>
          <w:sz w:val="24"/>
          <w:szCs w:val="18"/>
          <w:highlight w:val="none"/>
        </w:rPr>
      </w:pPr>
      <w:r>
        <w:rPr>
          <w:rFonts w:hint="eastAsia" w:ascii="宋体" w:hAnsi="宋体" w:eastAsia="宋体"/>
          <w:bCs/>
          <w:color w:val="auto"/>
          <w:sz w:val="24"/>
          <w:szCs w:val="18"/>
          <w:highlight w:val="none"/>
        </w:rPr>
        <w:t>③施工图设计阶段</w:t>
      </w:r>
    </w:p>
    <w:p w14:paraId="4154C293">
      <w:pPr>
        <w:shd w:val="clear"/>
        <w:spacing w:line="360" w:lineRule="auto"/>
        <w:ind w:firstLine="437"/>
        <w:outlineLvl w:val="1"/>
        <w:rPr>
          <w:rFonts w:ascii="宋体" w:hAnsi="宋体" w:eastAsia="宋体"/>
          <w:bCs/>
          <w:color w:val="auto"/>
          <w:sz w:val="24"/>
          <w:szCs w:val="18"/>
          <w:highlight w:val="none"/>
        </w:rPr>
      </w:pPr>
      <w:r>
        <w:rPr>
          <w:rFonts w:hint="eastAsia" w:ascii="宋体" w:hAnsi="宋体" w:eastAsia="宋体"/>
          <w:bCs/>
          <w:color w:val="auto"/>
          <w:sz w:val="24"/>
          <w:szCs w:val="18"/>
          <w:highlight w:val="none"/>
        </w:rPr>
        <w:t>负责施工图总承包预算编制，出具建设方项目造价控制方案；</w:t>
      </w:r>
    </w:p>
    <w:p w14:paraId="1CDA24DA">
      <w:pPr>
        <w:shd w:val="clear"/>
        <w:spacing w:line="360" w:lineRule="auto"/>
        <w:ind w:firstLine="437"/>
        <w:outlineLvl w:val="1"/>
        <w:rPr>
          <w:rFonts w:ascii="宋体" w:hAnsi="宋体" w:eastAsia="宋体"/>
          <w:bCs/>
          <w:color w:val="auto"/>
          <w:sz w:val="24"/>
          <w:szCs w:val="18"/>
          <w:highlight w:val="none"/>
        </w:rPr>
      </w:pPr>
      <w:r>
        <w:rPr>
          <w:rFonts w:hint="eastAsia" w:ascii="宋体" w:hAnsi="宋体" w:eastAsia="宋体"/>
          <w:bCs/>
          <w:color w:val="auto"/>
          <w:sz w:val="24"/>
          <w:szCs w:val="18"/>
          <w:highlight w:val="none"/>
        </w:rPr>
        <w:t>④施工阶段：</w:t>
      </w:r>
    </w:p>
    <w:p w14:paraId="50DA962B">
      <w:pPr>
        <w:shd w:val="clear"/>
        <w:spacing w:line="360" w:lineRule="auto"/>
        <w:ind w:firstLine="437"/>
        <w:outlineLvl w:val="1"/>
        <w:rPr>
          <w:rFonts w:ascii="宋体" w:hAnsi="宋体" w:eastAsia="宋体"/>
          <w:bCs/>
          <w:color w:val="auto"/>
          <w:sz w:val="24"/>
          <w:szCs w:val="18"/>
          <w:highlight w:val="none"/>
        </w:rPr>
      </w:pPr>
      <w:r>
        <w:rPr>
          <w:rFonts w:hint="eastAsia" w:ascii="宋体" w:hAnsi="宋体" w:eastAsia="宋体"/>
          <w:bCs/>
          <w:color w:val="auto"/>
          <w:sz w:val="24"/>
          <w:szCs w:val="18"/>
          <w:highlight w:val="none"/>
        </w:rPr>
        <w:t>总承包施工图预算核对；变更、签证审核；现场返工、隐蔽工程量收方、现场履约管理，成本资料管理，成本巡检；进度款审核；零星核价、认质认价。</w:t>
      </w:r>
    </w:p>
    <w:p w14:paraId="1B55EFAF">
      <w:pPr>
        <w:shd w:val="clear"/>
        <w:spacing w:line="360" w:lineRule="auto"/>
        <w:ind w:firstLine="437"/>
        <w:outlineLvl w:val="1"/>
        <w:rPr>
          <w:rFonts w:ascii="宋体" w:hAnsi="宋体" w:eastAsia="宋体"/>
          <w:bCs/>
          <w:color w:val="auto"/>
          <w:sz w:val="24"/>
          <w:szCs w:val="18"/>
          <w:highlight w:val="none"/>
        </w:rPr>
      </w:pPr>
      <w:r>
        <w:rPr>
          <w:rFonts w:hint="eastAsia" w:ascii="宋体" w:hAnsi="宋体" w:eastAsia="宋体"/>
          <w:bCs/>
          <w:color w:val="auto"/>
          <w:sz w:val="24"/>
          <w:szCs w:val="18"/>
          <w:highlight w:val="none"/>
        </w:rPr>
        <w:t>⑤竣工结算阶段：参加总分包竣工验收；总承包及分包合同一审结算、配合二审核对及主管部门审计结束。</w:t>
      </w:r>
    </w:p>
    <w:p w14:paraId="5732E409">
      <w:pPr>
        <w:shd w:val="clea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四、报价要求</w:t>
      </w:r>
      <w:bookmarkEnd w:id="34"/>
      <w:bookmarkEnd w:id="35"/>
    </w:p>
    <w:p w14:paraId="4C7DC115">
      <w:pPr>
        <w:pStyle w:val="8"/>
        <w:shd w:val="clear"/>
        <w:autoSpaceDE w:val="0"/>
        <w:autoSpaceDN w:val="0"/>
        <w:spacing w:line="360" w:lineRule="auto"/>
        <w:ind w:firstLine="482" w:firstLineChars="200"/>
        <w:rPr>
          <w:b/>
          <w:color w:val="auto"/>
          <w:sz w:val="24"/>
          <w:highlight w:val="none"/>
        </w:rPr>
      </w:pPr>
      <w:bookmarkStart w:id="36" w:name="_Toc3530"/>
      <w:bookmarkStart w:id="37" w:name="_Toc23590"/>
      <w:r>
        <w:rPr>
          <w:rFonts w:hint="eastAsia" w:ascii="宋体" w:hAnsi="宋体" w:eastAsia="宋体" w:cs="宋体"/>
          <w:b/>
          <w:color w:val="auto"/>
          <w:sz w:val="24"/>
          <w:highlight w:val="none"/>
          <w:lang w:val="en-US"/>
        </w:rPr>
        <w:t>1、报价方式：单价报价：本项目为单价采购，报价不得高于最高限价(</w:t>
      </w:r>
      <w:r>
        <w:rPr>
          <w:rFonts w:hint="eastAsia" w:ascii="宋体" w:hAnsi="宋体" w:eastAsia="宋体" w:cs="宋体"/>
          <w:b/>
          <w:color w:val="auto"/>
          <w:sz w:val="24"/>
          <w:highlight w:val="none"/>
          <w:lang w:val="en-US"/>
        </w:rPr>
        <w:t>11.5</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lang w:val="en-US"/>
        </w:rPr>
        <w:t>元/m2（总建筑面积）)，供应商的报价应当包括满足本次采购需求所应提供的服务，以及所伴随产生的其他费用（包括但不限于人员工资、人员社保、税费等），如有漏项，视为包含在报价中，后期不再增加。</w:t>
      </w:r>
    </w:p>
    <w:p w14:paraId="2AB41DC5">
      <w:pPr>
        <w:shd w:val="clea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五、其他要求</w:t>
      </w:r>
      <w:bookmarkEnd w:id="36"/>
      <w:bookmarkEnd w:id="37"/>
    </w:p>
    <w:bookmarkEnd w:id="29"/>
    <w:p w14:paraId="31AE53E3">
      <w:pPr>
        <w:shd w:val="clear"/>
        <w:spacing w:line="360" w:lineRule="auto"/>
        <w:ind w:firstLine="482" w:firstLineChars="200"/>
        <w:jc w:val="center"/>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《造价咨询服务完成时间表》</w:t>
      </w:r>
    </w:p>
    <w:tbl>
      <w:tblPr>
        <w:tblStyle w:val="2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0"/>
        <w:gridCol w:w="2616"/>
        <w:gridCol w:w="3966"/>
        <w:gridCol w:w="1657"/>
      </w:tblGrid>
      <w:tr w14:paraId="174DF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5000" w:type="pct"/>
            <w:gridSpan w:val="4"/>
            <w:noWrap/>
            <w:vAlign w:val="center"/>
          </w:tcPr>
          <w:p w14:paraId="0944601D">
            <w:pPr>
              <w:widowControl/>
              <w:shd w:val="clear"/>
              <w:jc w:val="center"/>
              <w:textAlignment w:val="center"/>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咨询服务内容成果时间表</w:t>
            </w:r>
          </w:p>
        </w:tc>
      </w:tr>
      <w:tr w14:paraId="2BF68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37" w:type="pct"/>
            <w:shd w:val="clear" w:color="auto" w:fill="FFFFFF"/>
            <w:noWrap/>
            <w:vAlign w:val="center"/>
          </w:tcPr>
          <w:p w14:paraId="6FFF2601">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阶段</w:t>
            </w:r>
          </w:p>
        </w:tc>
        <w:tc>
          <w:tcPr>
            <w:tcW w:w="1290" w:type="pct"/>
            <w:shd w:val="clear" w:color="auto" w:fill="FFFFFF"/>
            <w:noWrap/>
            <w:vAlign w:val="center"/>
          </w:tcPr>
          <w:p w14:paraId="5566EA30">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956" w:type="pct"/>
            <w:shd w:val="clear" w:color="auto" w:fill="FFFFFF"/>
            <w:noWrap/>
            <w:vAlign w:val="center"/>
          </w:tcPr>
          <w:p w14:paraId="38EC2C66">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详细说明</w:t>
            </w:r>
          </w:p>
        </w:tc>
        <w:tc>
          <w:tcPr>
            <w:tcW w:w="817" w:type="pct"/>
            <w:shd w:val="clear" w:color="auto" w:fill="FFFFFF"/>
            <w:noWrap/>
            <w:vAlign w:val="center"/>
          </w:tcPr>
          <w:p w14:paraId="28916807">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出成果时间标准</w:t>
            </w:r>
          </w:p>
        </w:tc>
      </w:tr>
      <w:tr w14:paraId="2BDEC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937" w:type="pct"/>
            <w:vMerge w:val="restart"/>
            <w:shd w:val="clear" w:color="auto" w:fill="FFFFFF"/>
            <w:noWrap/>
            <w:vAlign w:val="center"/>
          </w:tcPr>
          <w:p w14:paraId="13E62D26">
            <w:pPr>
              <w:widowControl/>
              <w:shd w:val="clear"/>
              <w:jc w:val="center"/>
              <w:textAlignment w:val="center"/>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报规阶段</w:t>
            </w:r>
          </w:p>
        </w:tc>
        <w:tc>
          <w:tcPr>
            <w:tcW w:w="1290" w:type="pct"/>
            <w:noWrap/>
            <w:vAlign w:val="center"/>
          </w:tcPr>
          <w:p w14:paraId="2E2B17FB">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建筑单体体型系数</w:t>
            </w:r>
          </w:p>
        </w:tc>
        <w:tc>
          <w:tcPr>
            <w:tcW w:w="1956" w:type="pct"/>
            <w:vAlign w:val="center"/>
          </w:tcPr>
          <w:p w14:paraId="1578D8CA">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外立面体型系数测算</w:t>
            </w:r>
          </w:p>
        </w:tc>
        <w:tc>
          <w:tcPr>
            <w:tcW w:w="817" w:type="pct"/>
            <w:vAlign w:val="center"/>
          </w:tcPr>
          <w:p w14:paraId="42255987">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3天</w:t>
            </w:r>
          </w:p>
        </w:tc>
      </w:tr>
      <w:tr w14:paraId="065F6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937" w:type="pct"/>
            <w:vMerge w:val="continue"/>
            <w:shd w:val="clear" w:color="auto" w:fill="FFFFFF"/>
            <w:noWrap/>
            <w:vAlign w:val="center"/>
          </w:tcPr>
          <w:p w14:paraId="17045320">
            <w:pPr>
              <w:shd w:val="clear"/>
              <w:jc w:val="center"/>
              <w:rPr>
                <w:rFonts w:ascii="宋体" w:hAnsi="宋体" w:eastAsia="宋体" w:cs="宋体"/>
                <w:bCs/>
                <w:color w:val="auto"/>
                <w:sz w:val="24"/>
                <w:szCs w:val="24"/>
                <w:highlight w:val="none"/>
              </w:rPr>
            </w:pPr>
          </w:p>
        </w:tc>
        <w:tc>
          <w:tcPr>
            <w:tcW w:w="1290" w:type="pct"/>
            <w:noWrap/>
            <w:vAlign w:val="center"/>
          </w:tcPr>
          <w:p w14:paraId="13DDF4BF">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外立面装饰配置</w:t>
            </w:r>
          </w:p>
        </w:tc>
        <w:tc>
          <w:tcPr>
            <w:tcW w:w="1956" w:type="pct"/>
            <w:vAlign w:val="center"/>
          </w:tcPr>
          <w:p w14:paraId="6567A261">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典型楼栋外立面配置测算</w:t>
            </w:r>
          </w:p>
        </w:tc>
        <w:tc>
          <w:tcPr>
            <w:tcW w:w="817" w:type="pct"/>
            <w:noWrap/>
            <w:vAlign w:val="center"/>
          </w:tcPr>
          <w:p w14:paraId="40C758BD">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5天</w:t>
            </w:r>
          </w:p>
        </w:tc>
      </w:tr>
      <w:tr w14:paraId="65649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937" w:type="pct"/>
            <w:vMerge w:val="restart"/>
            <w:shd w:val="clear" w:color="auto" w:fill="FFFFFF"/>
            <w:vAlign w:val="center"/>
          </w:tcPr>
          <w:p w14:paraId="5EB5DC4B">
            <w:pPr>
              <w:widowControl/>
              <w:shd w:val="clear"/>
              <w:jc w:val="center"/>
              <w:textAlignment w:val="center"/>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示范区阶段</w:t>
            </w:r>
          </w:p>
        </w:tc>
        <w:tc>
          <w:tcPr>
            <w:tcW w:w="1290" w:type="pct"/>
            <w:noWrap/>
            <w:vAlign w:val="center"/>
          </w:tcPr>
          <w:p w14:paraId="7FDFB39E">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售楼部装修</w:t>
            </w:r>
          </w:p>
        </w:tc>
        <w:tc>
          <w:tcPr>
            <w:tcW w:w="1956" w:type="pct"/>
            <w:vAlign w:val="center"/>
          </w:tcPr>
          <w:p w14:paraId="0EEF6CBE">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售楼部装修方案、施工图阶段测算</w:t>
            </w:r>
          </w:p>
        </w:tc>
        <w:tc>
          <w:tcPr>
            <w:tcW w:w="817" w:type="pct"/>
            <w:vAlign w:val="center"/>
          </w:tcPr>
          <w:p w14:paraId="27FEAF5E">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7天</w:t>
            </w:r>
          </w:p>
        </w:tc>
      </w:tr>
      <w:tr w14:paraId="05AA9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937" w:type="pct"/>
            <w:vMerge w:val="continue"/>
            <w:shd w:val="clear" w:color="auto" w:fill="FFFFFF"/>
            <w:vAlign w:val="center"/>
          </w:tcPr>
          <w:p w14:paraId="2D81EB4F">
            <w:pPr>
              <w:shd w:val="clear"/>
              <w:jc w:val="center"/>
              <w:rPr>
                <w:rFonts w:ascii="宋体" w:hAnsi="宋体" w:eastAsia="宋体" w:cs="宋体"/>
                <w:bCs/>
                <w:color w:val="auto"/>
                <w:sz w:val="24"/>
                <w:szCs w:val="24"/>
                <w:highlight w:val="none"/>
              </w:rPr>
            </w:pPr>
          </w:p>
        </w:tc>
        <w:tc>
          <w:tcPr>
            <w:tcW w:w="1290" w:type="pct"/>
            <w:noWrap/>
            <w:vAlign w:val="center"/>
          </w:tcPr>
          <w:p w14:paraId="6090DB14">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售楼部景观</w:t>
            </w:r>
          </w:p>
        </w:tc>
        <w:tc>
          <w:tcPr>
            <w:tcW w:w="1956" w:type="pct"/>
            <w:vAlign w:val="center"/>
          </w:tcPr>
          <w:p w14:paraId="239588D5">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售楼部景观方案、施工图阶段测算</w:t>
            </w:r>
          </w:p>
        </w:tc>
        <w:tc>
          <w:tcPr>
            <w:tcW w:w="817" w:type="pct"/>
            <w:vAlign w:val="center"/>
          </w:tcPr>
          <w:p w14:paraId="63DC941D">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7天</w:t>
            </w:r>
          </w:p>
        </w:tc>
      </w:tr>
      <w:tr w14:paraId="2B857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937" w:type="pct"/>
            <w:vMerge w:val="continue"/>
            <w:shd w:val="clear" w:color="auto" w:fill="FFFFFF"/>
            <w:vAlign w:val="center"/>
          </w:tcPr>
          <w:p w14:paraId="1F9C5C49">
            <w:pPr>
              <w:shd w:val="clear"/>
              <w:jc w:val="center"/>
              <w:rPr>
                <w:rFonts w:ascii="宋体" w:hAnsi="宋体" w:eastAsia="宋体" w:cs="宋体"/>
                <w:bCs/>
                <w:color w:val="auto"/>
                <w:sz w:val="24"/>
                <w:szCs w:val="24"/>
                <w:highlight w:val="none"/>
              </w:rPr>
            </w:pPr>
          </w:p>
        </w:tc>
        <w:tc>
          <w:tcPr>
            <w:tcW w:w="1290" w:type="pct"/>
            <w:noWrap/>
            <w:vAlign w:val="center"/>
          </w:tcPr>
          <w:p w14:paraId="4F879BD2">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售楼部外立面</w:t>
            </w:r>
          </w:p>
        </w:tc>
        <w:tc>
          <w:tcPr>
            <w:tcW w:w="1956" w:type="pct"/>
            <w:vAlign w:val="center"/>
          </w:tcPr>
          <w:p w14:paraId="39123917">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售楼部外立面方案、施工图阶段测算</w:t>
            </w:r>
          </w:p>
        </w:tc>
        <w:tc>
          <w:tcPr>
            <w:tcW w:w="817" w:type="pct"/>
            <w:vAlign w:val="center"/>
          </w:tcPr>
          <w:p w14:paraId="4D47766C">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7天</w:t>
            </w:r>
          </w:p>
        </w:tc>
      </w:tr>
      <w:tr w14:paraId="5256A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937" w:type="pct"/>
            <w:vMerge w:val="restart"/>
            <w:shd w:val="clear" w:color="auto" w:fill="FFFFFF"/>
            <w:noWrap/>
            <w:vAlign w:val="center"/>
          </w:tcPr>
          <w:p w14:paraId="4A5C16D3">
            <w:pPr>
              <w:widowControl/>
              <w:shd w:val="clear"/>
              <w:jc w:val="center"/>
              <w:textAlignment w:val="center"/>
              <w:rPr>
                <w:rFonts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施工图前期阶段</w:t>
            </w:r>
          </w:p>
          <w:p w14:paraId="74A412F3">
            <w:pPr>
              <w:widowControl/>
              <w:shd w:val="clear"/>
              <w:jc w:val="center"/>
              <w:textAlignment w:val="center"/>
              <w:rPr>
                <w:rFonts w:ascii="宋体" w:hAnsi="宋体" w:eastAsia="宋体" w:cs="宋体"/>
                <w:bCs/>
                <w:color w:val="auto"/>
                <w:sz w:val="24"/>
                <w:szCs w:val="24"/>
                <w:highlight w:val="none"/>
              </w:rPr>
            </w:pPr>
          </w:p>
        </w:tc>
        <w:tc>
          <w:tcPr>
            <w:tcW w:w="1290" w:type="pct"/>
            <w:vAlign w:val="center"/>
          </w:tcPr>
          <w:p w14:paraId="726421B2">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土方平衡方案</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（正负零标高）</w:t>
            </w:r>
          </w:p>
        </w:tc>
        <w:tc>
          <w:tcPr>
            <w:tcW w:w="1956" w:type="pct"/>
            <w:vAlign w:val="center"/>
          </w:tcPr>
          <w:p w14:paraId="68EC05C6">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土方平衡方案成本测算</w:t>
            </w:r>
          </w:p>
        </w:tc>
        <w:tc>
          <w:tcPr>
            <w:tcW w:w="817" w:type="pct"/>
            <w:vAlign w:val="center"/>
          </w:tcPr>
          <w:p w14:paraId="220480AE">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2天</w:t>
            </w:r>
          </w:p>
        </w:tc>
      </w:tr>
      <w:tr w14:paraId="58B01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jc w:val="center"/>
        </w:trPr>
        <w:tc>
          <w:tcPr>
            <w:tcW w:w="937" w:type="pct"/>
            <w:vMerge w:val="continue"/>
            <w:shd w:val="clear" w:color="auto" w:fill="FFFFFF"/>
            <w:noWrap/>
            <w:vAlign w:val="center"/>
          </w:tcPr>
          <w:p w14:paraId="3A0FBF5B">
            <w:pPr>
              <w:shd w:val="clear"/>
              <w:jc w:val="center"/>
              <w:rPr>
                <w:rFonts w:ascii="宋体" w:hAnsi="宋体" w:eastAsia="宋体" w:cs="宋体"/>
                <w:bCs/>
                <w:color w:val="auto"/>
                <w:sz w:val="24"/>
                <w:szCs w:val="24"/>
                <w:highlight w:val="none"/>
              </w:rPr>
            </w:pPr>
          </w:p>
        </w:tc>
        <w:tc>
          <w:tcPr>
            <w:tcW w:w="1290" w:type="pct"/>
            <w:noWrap/>
            <w:vAlign w:val="center"/>
          </w:tcPr>
          <w:p w14:paraId="302D67F4">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基础工程</w:t>
            </w:r>
          </w:p>
        </w:tc>
        <w:tc>
          <w:tcPr>
            <w:tcW w:w="1956" w:type="pct"/>
            <w:vAlign w:val="center"/>
          </w:tcPr>
          <w:p w14:paraId="362CC00B">
            <w:pPr>
              <w:shd w:val="clea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1、塔楼地下室基础方案费用比选（桩基础、筏板基础）</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2、普通车库基础方案费用比选（防水筏板基础、独立柱基础），地库抗浮专项方案论证，规避施工抗浮桩</w:t>
            </w:r>
          </w:p>
        </w:tc>
        <w:tc>
          <w:tcPr>
            <w:tcW w:w="817" w:type="pct"/>
            <w:vAlign w:val="center"/>
          </w:tcPr>
          <w:p w14:paraId="5C92047A">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3天</w:t>
            </w:r>
          </w:p>
        </w:tc>
      </w:tr>
      <w:tr w14:paraId="30887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jc w:val="center"/>
        </w:trPr>
        <w:tc>
          <w:tcPr>
            <w:tcW w:w="937" w:type="pct"/>
            <w:vMerge w:val="continue"/>
            <w:shd w:val="clear" w:color="auto" w:fill="FFFFFF"/>
            <w:noWrap/>
            <w:vAlign w:val="center"/>
          </w:tcPr>
          <w:p w14:paraId="58A3F5C2">
            <w:pPr>
              <w:shd w:val="clear"/>
              <w:jc w:val="center"/>
              <w:rPr>
                <w:rFonts w:ascii="宋体" w:hAnsi="宋体" w:eastAsia="宋体" w:cs="宋体"/>
                <w:bCs/>
                <w:color w:val="auto"/>
                <w:sz w:val="24"/>
                <w:szCs w:val="24"/>
                <w:highlight w:val="none"/>
              </w:rPr>
            </w:pPr>
          </w:p>
        </w:tc>
        <w:tc>
          <w:tcPr>
            <w:tcW w:w="1290" w:type="pct"/>
            <w:noWrap/>
            <w:vAlign w:val="center"/>
          </w:tcPr>
          <w:p w14:paraId="7FE4A897">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基坑支护方案比选</w:t>
            </w:r>
          </w:p>
        </w:tc>
        <w:tc>
          <w:tcPr>
            <w:tcW w:w="1956" w:type="pct"/>
            <w:vAlign w:val="center"/>
          </w:tcPr>
          <w:p w14:paraId="155C947F">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基坑支护方案经济性比选</w:t>
            </w:r>
          </w:p>
        </w:tc>
        <w:tc>
          <w:tcPr>
            <w:tcW w:w="817" w:type="pct"/>
            <w:vAlign w:val="center"/>
          </w:tcPr>
          <w:p w14:paraId="10A13618">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3天</w:t>
            </w:r>
          </w:p>
        </w:tc>
      </w:tr>
      <w:tr w14:paraId="54EE3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937" w:type="pct"/>
            <w:vMerge w:val="continue"/>
            <w:shd w:val="clear" w:color="auto" w:fill="FFFFFF"/>
            <w:noWrap/>
            <w:vAlign w:val="center"/>
          </w:tcPr>
          <w:p w14:paraId="76734E1E">
            <w:pPr>
              <w:shd w:val="clear"/>
              <w:jc w:val="center"/>
              <w:rPr>
                <w:rFonts w:ascii="宋体" w:hAnsi="宋体" w:eastAsia="宋体" w:cs="宋体"/>
                <w:bCs/>
                <w:color w:val="auto"/>
                <w:sz w:val="24"/>
                <w:szCs w:val="24"/>
                <w:highlight w:val="none"/>
              </w:rPr>
            </w:pPr>
          </w:p>
        </w:tc>
        <w:tc>
          <w:tcPr>
            <w:tcW w:w="1290" w:type="pct"/>
            <w:vAlign w:val="center"/>
          </w:tcPr>
          <w:p w14:paraId="0C646B8B">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主体结构限额</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（砼、钢筋、砌体、模板）</w:t>
            </w:r>
          </w:p>
        </w:tc>
        <w:tc>
          <w:tcPr>
            <w:tcW w:w="1956" w:type="pct"/>
            <w:vAlign w:val="center"/>
          </w:tcPr>
          <w:p w14:paraId="5C57EF5F">
            <w:pPr>
              <w:shd w:val="clea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典型楼栋结构、地库分区结构指标测算，提前预警结构指标含量情况（大区现场施工前完成）</w:t>
            </w:r>
          </w:p>
        </w:tc>
        <w:tc>
          <w:tcPr>
            <w:tcW w:w="817" w:type="pct"/>
            <w:noWrap/>
            <w:vAlign w:val="center"/>
          </w:tcPr>
          <w:p w14:paraId="38A70364">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5天</w:t>
            </w:r>
          </w:p>
        </w:tc>
      </w:tr>
      <w:tr w14:paraId="03B8A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937" w:type="pct"/>
            <w:vMerge w:val="continue"/>
            <w:shd w:val="clear" w:color="auto" w:fill="FFFFFF"/>
            <w:noWrap/>
            <w:vAlign w:val="center"/>
          </w:tcPr>
          <w:p w14:paraId="5E531027">
            <w:pPr>
              <w:shd w:val="clear"/>
              <w:jc w:val="center"/>
              <w:rPr>
                <w:rFonts w:ascii="宋体" w:hAnsi="宋体" w:eastAsia="宋体" w:cs="宋体"/>
                <w:bCs/>
                <w:color w:val="auto"/>
                <w:sz w:val="24"/>
                <w:szCs w:val="24"/>
                <w:highlight w:val="none"/>
              </w:rPr>
            </w:pPr>
          </w:p>
        </w:tc>
        <w:tc>
          <w:tcPr>
            <w:tcW w:w="1290" w:type="pct"/>
            <w:noWrap/>
            <w:vAlign w:val="center"/>
          </w:tcPr>
          <w:p w14:paraId="7771CD6E">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工程做法方案比选</w:t>
            </w:r>
          </w:p>
        </w:tc>
        <w:tc>
          <w:tcPr>
            <w:tcW w:w="1956" w:type="pct"/>
            <w:vAlign w:val="center"/>
          </w:tcPr>
          <w:p w14:paraId="0B5D62E1">
            <w:pPr>
              <w:shd w:val="clea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配合成本经理针对工程做法专项测算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1、地上户内抹灰砂浆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2、地上天棚做法等等</w:t>
            </w:r>
          </w:p>
        </w:tc>
        <w:tc>
          <w:tcPr>
            <w:tcW w:w="817" w:type="pct"/>
            <w:noWrap/>
            <w:vAlign w:val="center"/>
          </w:tcPr>
          <w:p w14:paraId="1257F756">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5天</w:t>
            </w:r>
          </w:p>
        </w:tc>
      </w:tr>
      <w:tr w14:paraId="75279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937" w:type="pct"/>
            <w:vMerge w:val="continue"/>
            <w:shd w:val="clear" w:color="auto" w:fill="FFFFFF"/>
            <w:noWrap/>
            <w:vAlign w:val="center"/>
          </w:tcPr>
          <w:p w14:paraId="1A1F57F7">
            <w:pPr>
              <w:widowControl/>
              <w:shd w:val="clear"/>
              <w:jc w:val="center"/>
              <w:textAlignment w:val="center"/>
              <w:rPr>
                <w:rFonts w:ascii="宋体" w:hAnsi="宋体" w:eastAsia="宋体" w:cs="宋体"/>
                <w:bCs/>
                <w:color w:val="auto"/>
                <w:sz w:val="24"/>
                <w:szCs w:val="24"/>
                <w:highlight w:val="none"/>
              </w:rPr>
            </w:pPr>
          </w:p>
        </w:tc>
        <w:tc>
          <w:tcPr>
            <w:tcW w:w="1290" w:type="pct"/>
            <w:noWrap/>
            <w:vAlign w:val="center"/>
          </w:tcPr>
          <w:p w14:paraId="0F49C34C">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外立面门窗方案比选</w:t>
            </w:r>
          </w:p>
        </w:tc>
        <w:tc>
          <w:tcPr>
            <w:tcW w:w="1956" w:type="pct"/>
            <w:noWrap/>
            <w:vAlign w:val="center"/>
          </w:tcPr>
          <w:p w14:paraId="5F6AD3EB">
            <w:pPr>
              <w:shd w:val="clea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铝合金门窗和塑钢门窗经济性比选，</w:t>
            </w:r>
          </w:p>
        </w:tc>
        <w:tc>
          <w:tcPr>
            <w:tcW w:w="817" w:type="pct"/>
            <w:noWrap/>
            <w:vAlign w:val="center"/>
          </w:tcPr>
          <w:p w14:paraId="513A0763">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5天</w:t>
            </w:r>
          </w:p>
        </w:tc>
      </w:tr>
      <w:tr w14:paraId="59B12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937" w:type="pct"/>
            <w:vMerge w:val="continue"/>
            <w:shd w:val="clear" w:color="auto" w:fill="FFFFFF"/>
            <w:noWrap/>
            <w:vAlign w:val="center"/>
          </w:tcPr>
          <w:p w14:paraId="5E3E7B5D">
            <w:pPr>
              <w:shd w:val="clear"/>
              <w:jc w:val="center"/>
              <w:rPr>
                <w:rFonts w:ascii="宋体" w:hAnsi="宋体" w:eastAsia="宋体" w:cs="宋体"/>
                <w:bCs/>
                <w:color w:val="auto"/>
                <w:sz w:val="24"/>
                <w:szCs w:val="24"/>
                <w:highlight w:val="none"/>
              </w:rPr>
            </w:pPr>
          </w:p>
        </w:tc>
        <w:tc>
          <w:tcPr>
            <w:tcW w:w="1290" w:type="pct"/>
            <w:noWrap/>
            <w:vAlign w:val="center"/>
          </w:tcPr>
          <w:p w14:paraId="19CBE500">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项目节能方案比选</w:t>
            </w:r>
          </w:p>
        </w:tc>
        <w:tc>
          <w:tcPr>
            <w:tcW w:w="1956" w:type="pct"/>
            <w:vAlign w:val="center"/>
          </w:tcPr>
          <w:p w14:paraId="2D2E4D95">
            <w:pPr>
              <w:shd w:val="clea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结合铝合金门窗材质、讨论外立面保温轮廓线最优方案，争取节能K值做到最优</w:t>
            </w:r>
          </w:p>
        </w:tc>
        <w:tc>
          <w:tcPr>
            <w:tcW w:w="817" w:type="pct"/>
            <w:noWrap/>
            <w:vAlign w:val="center"/>
          </w:tcPr>
          <w:p w14:paraId="4AB6DFA5">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5天</w:t>
            </w:r>
          </w:p>
        </w:tc>
      </w:tr>
      <w:tr w14:paraId="76865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937" w:type="pct"/>
            <w:vMerge w:val="continue"/>
            <w:shd w:val="clear" w:color="auto" w:fill="FFFFFF"/>
            <w:noWrap/>
            <w:vAlign w:val="center"/>
          </w:tcPr>
          <w:p w14:paraId="37B2AB06">
            <w:pPr>
              <w:shd w:val="clear"/>
              <w:jc w:val="center"/>
              <w:rPr>
                <w:rFonts w:ascii="宋体" w:hAnsi="宋体" w:eastAsia="宋体" w:cs="宋体"/>
                <w:bCs/>
                <w:color w:val="auto"/>
                <w:sz w:val="24"/>
                <w:szCs w:val="24"/>
                <w:highlight w:val="none"/>
              </w:rPr>
            </w:pPr>
          </w:p>
        </w:tc>
        <w:tc>
          <w:tcPr>
            <w:tcW w:w="1290" w:type="pct"/>
            <w:noWrap/>
            <w:vAlign w:val="center"/>
          </w:tcPr>
          <w:p w14:paraId="204426E1">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外立面装饰工程方案</w:t>
            </w:r>
          </w:p>
        </w:tc>
        <w:tc>
          <w:tcPr>
            <w:tcW w:w="1956" w:type="pct"/>
            <w:vAlign w:val="center"/>
          </w:tcPr>
          <w:p w14:paraId="58DF0E68">
            <w:pPr>
              <w:shd w:val="clea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根据报规外立面效果图，联动设计外立面深化配置费用测算</w:t>
            </w:r>
          </w:p>
        </w:tc>
        <w:tc>
          <w:tcPr>
            <w:tcW w:w="817" w:type="pct"/>
            <w:noWrap/>
            <w:vAlign w:val="center"/>
          </w:tcPr>
          <w:p w14:paraId="3B4940AC">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5天</w:t>
            </w:r>
          </w:p>
        </w:tc>
      </w:tr>
      <w:tr w14:paraId="146B5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937" w:type="pct"/>
            <w:vMerge w:val="continue"/>
            <w:shd w:val="clear" w:color="auto" w:fill="FFFFFF"/>
            <w:noWrap/>
            <w:vAlign w:val="center"/>
          </w:tcPr>
          <w:p w14:paraId="267FB235">
            <w:pPr>
              <w:shd w:val="clear"/>
              <w:jc w:val="center"/>
              <w:rPr>
                <w:rFonts w:ascii="宋体" w:hAnsi="宋体" w:eastAsia="宋体" w:cs="宋体"/>
                <w:bCs/>
                <w:color w:val="auto"/>
                <w:sz w:val="24"/>
                <w:szCs w:val="24"/>
                <w:highlight w:val="none"/>
              </w:rPr>
            </w:pPr>
          </w:p>
        </w:tc>
        <w:tc>
          <w:tcPr>
            <w:tcW w:w="1290" w:type="pct"/>
            <w:noWrap/>
            <w:vAlign w:val="center"/>
          </w:tcPr>
          <w:p w14:paraId="5AEFDC7C">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景观方案管控</w:t>
            </w:r>
          </w:p>
        </w:tc>
        <w:tc>
          <w:tcPr>
            <w:tcW w:w="1956" w:type="pct"/>
            <w:noWrap/>
            <w:vAlign w:val="center"/>
          </w:tcPr>
          <w:p w14:paraId="1D635496">
            <w:pPr>
              <w:shd w:val="clea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景观方案、扩初图、施工费用测算</w:t>
            </w:r>
          </w:p>
        </w:tc>
        <w:tc>
          <w:tcPr>
            <w:tcW w:w="817" w:type="pct"/>
            <w:vAlign w:val="center"/>
          </w:tcPr>
          <w:p w14:paraId="2A58C304">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7天</w:t>
            </w:r>
          </w:p>
        </w:tc>
      </w:tr>
      <w:tr w14:paraId="67F91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937" w:type="pct"/>
            <w:vMerge w:val="continue"/>
            <w:shd w:val="clear" w:color="auto" w:fill="FFFFFF"/>
            <w:noWrap/>
            <w:vAlign w:val="center"/>
          </w:tcPr>
          <w:p w14:paraId="0B6F90B9">
            <w:pPr>
              <w:shd w:val="clear"/>
              <w:jc w:val="center"/>
              <w:rPr>
                <w:rFonts w:ascii="宋体" w:hAnsi="宋体" w:eastAsia="宋体" w:cs="宋体"/>
                <w:bCs/>
                <w:color w:val="auto"/>
                <w:sz w:val="24"/>
                <w:szCs w:val="24"/>
                <w:highlight w:val="none"/>
              </w:rPr>
            </w:pPr>
          </w:p>
        </w:tc>
        <w:tc>
          <w:tcPr>
            <w:tcW w:w="1290" w:type="pct"/>
            <w:noWrap/>
            <w:vAlign w:val="center"/>
          </w:tcPr>
          <w:p w14:paraId="73861A4F">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公区装修方案</w:t>
            </w:r>
          </w:p>
        </w:tc>
        <w:tc>
          <w:tcPr>
            <w:tcW w:w="1956" w:type="pct"/>
            <w:vAlign w:val="center"/>
          </w:tcPr>
          <w:p w14:paraId="32EC970B">
            <w:pPr>
              <w:shd w:val="clea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地下大堂、首层大堂、地上标准电梯厅、楼梯间方案、扩初图测算</w:t>
            </w:r>
          </w:p>
        </w:tc>
        <w:tc>
          <w:tcPr>
            <w:tcW w:w="817" w:type="pct"/>
            <w:vAlign w:val="center"/>
          </w:tcPr>
          <w:p w14:paraId="7A2EB0D0">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7天</w:t>
            </w:r>
          </w:p>
        </w:tc>
      </w:tr>
      <w:tr w14:paraId="15969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937" w:type="pct"/>
            <w:vMerge w:val="continue"/>
            <w:shd w:val="clear" w:color="auto" w:fill="FFFFFF"/>
            <w:noWrap/>
            <w:vAlign w:val="center"/>
          </w:tcPr>
          <w:p w14:paraId="1BC5629E">
            <w:pPr>
              <w:shd w:val="clear"/>
              <w:jc w:val="center"/>
              <w:rPr>
                <w:rFonts w:ascii="宋体" w:hAnsi="宋体" w:eastAsia="宋体" w:cs="宋体"/>
                <w:bCs/>
                <w:color w:val="auto"/>
                <w:sz w:val="24"/>
                <w:szCs w:val="24"/>
                <w:highlight w:val="none"/>
              </w:rPr>
            </w:pPr>
          </w:p>
        </w:tc>
        <w:tc>
          <w:tcPr>
            <w:tcW w:w="1290" w:type="pct"/>
            <w:noWrap/>
            <w:vAlign w:val="center"/>
          </w:tcPr>
          <w:p w14:paraId="3EA90CF4">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供电工程</w:t>
            </w:r>
          </w:p>
        </w:tc>
        <w:tc>
          <w:tcPr>
            <w:tcW w:w="1956" w:type="pct"/>
            <w:vAlign w:val="center"/>
          </w:tcPr>
          <w:p w14:paraId="049CC97E">
            <w:pPr>
              <w:shd w:val="clea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供电规划复核及施工图测算</w:t>
            </w:r>
          </w:p>
        </w:tc>
        <w:tc>
          <w:tcPr>
            <w:tcW w:w="817" w:type="pct"/>
            <w:vAlign w:val="center"/>
          </w:tcPr>
          <w:p w14:paraId="4B12B9C4">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5天</w:t>
            </w:r>
          </w:p>
        </w:tc>
      </w:tr>
      <w:tr w14:paraId="25EEC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937" w:type="pct"/>
            <w:vMerge w:val="continue"/>
            <w:shd w:val="clear" w:color="auto" w:fill="FFFFFF"/>
            <w:noWrap/>
            <w:vAlign w:val="center"/>
          </w:tcPr>
          <w:p w14:paraId="6CA5C538">
            <w:pPr>
              <w:shd w:val="clear"/>
              <w:jc w:val="center"/>
              <w:rPr>
                <w:rFonts w:ascii="宋体" w:hAnsi="宋体" w:eastAsia="宋体" w:cs="宋体"/>
                <w:bCs/>
                <w:color w:val="auto"/>
                <w:sz w:val="24"/>
                <w:szCs w:val="24"/>
                <w:highlight w:val="none"/>
              </w:rPr>
            </w:pPr>
          </w:p>
        </w:tc>
        <w:tc>
          <w:tcPr>
            <w:tcW w:w="1290" w:type="pct"/>
            <w:noWrap/>
            <w:vAlign w:val="center"/>
          </w:tcPr>
          <w:p w14:paraId="4F594AF5">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其他零星工程</w:t>
            </w:r>
          </w:p>
        </w:tc>
        <w:tc>
          <w:tcPr>
            <w:tcW w:w="1956" w:type="pct"/>
            <w:vAlign w:val="center"/>
          </w:tcPr>
          <w:p w14:paraId="7AA57CD8">
            <w:pPr>
              <w:shd w:val="clea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其他零星工程配合建设方方案测算</w:t>
            </w:r>
          </w:p>
        </w:tc>
        <w:tc>
          <w:tcPr>
            <w:tcW w:w="817" w:type="pct"/>
            <w:vAlign w:val="center"/>
          </w:tcPr>
          <w:p w14:paraId="00ACFBFB">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3天</w:t>
            </w:r>
          </w:p>
        </w:tc>
      </w:tr>
      <w:tr w14:paraId="7B754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937" w:type="pct"/>
            <w:vMerge w:val="restart"/>
            <w:shd w:val="clear" w:color="auto" w:fill="FFFFFF"/>
            <w:noWrap/>
            <w:vAlign w:val="center"/>
          </w:tcPr>
          <w:p w14:paraId="4DCCC739">
            <w:pPr>
              <w:widowControl/>
              <w:shd w:val="clear"/>
              <w:jc w:val="center"/>
              <w:textAlignment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施工图预算编制</w:t>
            </w:r>
          </w:p>
        </w:tc>
        <w:tc>
          <w:tcPr>
            <w:tcW w:w="1290" w:type="pct"/>
            <w:noWrap/>
            <w:vAlign w:val="center"/>
          </w:tcPr>
          <w:p w14:paraId="37F76EE0">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土建总包类</w:t>
            </w:r>
          </w:p>
        </w:tc>
        <w:tc>
          <w:tcPr>
            <w:tcW w:w="1956" w:type="pct"/>
            <w:vMerge w:val="restart"/>
            <w:vAlign w:val="center"/>
          </w:tcPr>
          <w:p w14:paraId="79066A59">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按18版本定额出施工图预算</w:t>
            </w:r>
          </w:p>
          <w:p w14:paraId="05F9FB6C">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（总价包干模式）</w:t>
            </w:r>
          </w:p>
        </w:tc>
        <w:tc>
          <w:tcPr>
            <w:tcW w:w="817" w:type="pct"/>
            <w:noWrap/>
            <w:vAlign w:val="center"/>
          </w:tcPr>
          <w:p w14:paraId="0B884374">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20天</w:t>
            </w:r>
          </w:p>
        </w:tc>
      </w:tr>
      <w:tr w14:paraId="25EA0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937" w:type="pct"/>
            <w:vMerge w:val="continue"/>
            <w:shd w:val="clear" w:color="auto" w:fill="FFFFFF"/>
            <w:noWrap/>
            <w:vAlign w:val="center"/>
          </w:tcPr>
          <w:p w14:paraId="74B43C2A">
            <w:pPr>
              <w:shd w:val="clear"/>
              <w:jc w:val="center"/>
              <w:rPr>
                <w:rFonts w:ascii="宋体" w:hAnsi="宋体" w:eastAsia="宋体" w:cs="宋体"/>
                <w:bCs/>
                <w:color w:val="auto"/>
                <w:sz w:val="24"/>
                <w:szCs w:val="24"/>
                <w:highlight w:val="none"/>
              </w:rPr>
            </w:pPr>
          </w:p>
        </w:tc>
        <w:tc>
          <w:tcPr>
            <w:tcW w:w="1290" w:type="pct"/>
            <w:noWrap/>
            <w:vAlign w:val="center"/>
          </w:tcPr>
          <w:p w14:paraId="3794506A">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土方桩基类</w:t>
            </w:r>
          </w:p>
        </w:tc>
        <w:tc>
          <w:tcPr>
            <w:tcW w:w="1956" w:type="pct"/>
            <w:vMerge w:val="continue"/>
            <w:vAlign w:val="center"/>
          </w:tcPr>
          <w:p w14:paraId="71D7DFB4">
            <w:pPr>
              <w:shd w:val="clear"/>
              <w:jc w:val="center"/>
              <w:rPr>
                <w:rFonts w:ascii="宋体" w:hAnsi="宋体" w:eastAsia="宋体" w:cs="宋体"/>
                <w:color w:val="auto"/>
                <w:sz w:val="24"/>
                <w:szCs w:val="24"/>
                <w:highlight w:val="none"/>
              </w:rPr>
            </w:pPr>
          </w:p>
        </w:tc>
        <w:tc>
          <w:tcPr>
            <w:tcW w:w="817" w:type="pct"/>
            <w:noWrap/>
            <w:vAlign w:val="center"/>
          </w:tcPr>
          <w:p w14:paraId="51F4A0D6">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15天</w:t>
            </w:r>
          </w:p>
        </w:tc>
      </w:tr>
      <w:tr w14:paraId="70E89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6" w:hRule="atLeast"/>
          <w:jc w:val="center"/>
        </w:trPr>
        <w:tc>
          <w:tcPr>
            <w:tcW w:w="937" w:type="pct"/>
            <w:vMerge w:val="continue"/>
            <w:shd w:val="clear" w:color="auto" w:fill="FFFFFF"/>
            <w:noWrap/>
            <w:vAlign w:val="center"/>
          </w:tcPr>
          <w:p w14:paraId="39C06670">
            <w:pPr>
              <w:shd w:val="clear"/>
              <w:jc w:val="center"/>
              <w:rPr>
                <w:rFonts w:ascii="宋体" w:hAnsi="宋体" w:eastAsia="宋体" w:cs="宋体"/>
                <w:bCs/>
                <w:color w:val="auto"/>
                <w:sz w:val="24"/>
                <w:szCs w:val="24"/>
                <w:highlight w:val="none"/>
              </w:rPr>
            </w:pPr>
          </w:p>
        </w:tc>
        <w:tc>
          <w:tcPr>
            <w:tcW w:w="1290" w:type="pct"/>
            <w:vAlign w:val="center"/>
          </w:tcPr>
          <w:p w14:paraId="7FCB41F8">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门窗、外立面幕墙、公区装修、景观、栏杆、供电、智能化、消防</w:t>
            </w:r>
          </w:p>
        </w:tc>
        <w:tc>
          <w:tcPr>
            <w:tcW w:w="1956" w:type="pct"/>
            <w:vMerge w:val="continue"/>
            <w:vAlign w:val="center"/>
          </w:tcPr>
          <w:p w14:paraId="5AB59BB5">
            <w:pPr>
              <w:shd w:val="clear"/>
              <w:jc w:val="center"/>
              <w:rPr>
                <w:rFonts w:ascii="宋体" w:hAnsi="宋体" w:eastAsia="宋体" w:cs="宋体"/>
                <w:color w:val="auto"/>
                <w:sz w:val="24"/>
                <w:szCs w:val="24"/>
                <w:highlight w:val="none"/>
              </w:rPr>
            </w:pPr>
          </w:p>
        </w:tc>
        <w:tc>
          <w:tcPr>
            <w:tcW w:w="817" w:type="pct"/>
            <w:noWrap/>
            <w:vAlign w:val="center"/>
          </w:tcPr>
          <w:p w14:paraId="7CCAFA38">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20天</w:t>
            </w:r>
          </w:p>
        </w:tc>
      </w:tr>
      <w:tr w14:paraId="19D79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37" w:type="pct"/>
            <w:vMerge w:val="continue"/>
            <w:shd w:val="clear" w:color="auto" w:fill="FFFFFF"/>
            <w:noWrap/>
            <w:vAlign w:val="center"/>
          </w:tcPr>
          <w:p w14:paraId="06FE0197">
            <w:pPr>
              <w:shd w:val="clear"/>
              <w:jc w:val="center"/>
              <w:rPr>
                <w:rFonts w:ascii="宋体" w:hAnsi="宋体" w:eastAsia="宋体" w:cs="宋体"/>
                <w:bCs/>
                <w:color w:val="auto"/>
                <w:sz w:val="24"/>
                <w:szCs w:val="24"/>
                <w:highlight w:val="none"/>
              </w:rPr>
            </w:pPr>
          </w:p>
        </w:tc>
        <w:tc>
          <w:tcPr>
            <w:tcW w:w="1290" w:type="pct"/>
            <w:noWrap/>
            <w:vAlign w:val="center"/>
          </w:tcPr>
          <w:p w14:paraId="18651C02">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其他小专业</w:t>
            </w:r>
          </w:p>
        </w:tc>
        <w:tc>
          <w:tcPr>
            <w:tcW w:w="1956" w:type="pct"/>
            <w:vMerge w:val="continue"/>
            <w:vAlign w:val="center"/>
          </w:tcPr>
          <w:p w14:paraId="110037D1">
            <w:pPr>
              <w:shd w:val="clear"/>
              <w:jc w:val="center"/>
              <w:rPr>
                <w:rFonts w:ascii="宋体" w:hAnsi="宋体" w:eastAsia="宋体" w:cs="宋体"/>
                <w:color w:val="auto"/>
                <w:sz w:val="24"/>
                <w:szCs w:val="24"/>
                <w:highlight w:val="none"/>
              </w:rPr>
            </w:pPr>
          </w:p>
        </w:tc>
        <w:tc>
          <w:tcPr>
            <w:tcW w:w="817" w:type="pct"/>
            <w:noWrap/>
            <w:vAlign w:val="center"/>
          </w:tcPr>
          <w:p w14:paraId="6B173D06">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15天</w:t>
            </w:r>
          </w:p>
        </w:tc>
      </w:tr>
      <w:tr w14:paraId="56644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937" w:type="pct"/>
            <w:vMerge w:val="restart"/>
            <w:shd w:val="clear" w:color="auto" w:fill="FFFFFF"/>
            <w:noWrap/>
            <w:vAlign w:val="center"/>
          </w:tcPr>
          <w:p w14:paraId="38BE2020">
            <w:pPr>
              <w:widowControl/>
              <w:shd w:val="clear"/>
              <w:jc w:val="center"/>
              <w:textAlignment w:val="center"/>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施工图预算核对转固</w:t>
            </w:r>
          </w:p>
        </w:tc>
        <w:tc>
          <w:tcPr>
            <w:tcW w:w="1290" w:type="pct"/>
            <w:noWrap/>
            <w:vAlign w:val="center"/>
          </w:tcPr>
          <w:p w14:paraId="099A7A69">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土建类</w:t>
            </w:r>
          </w:p>
        </w:tc>
        <w:tc>
          <w:tcPr>
            <w:tcW w:w="1956" w:type="pct"/>
            <w:vMerge w:val="restart"/>
            <w:vAlign w:val="center"/>
          </w:tcPr>
          <w:p w14:paraId="6D3BA786">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按18版本定额完成</w:t>
            </w:r>
          </w:p>
          <w:p w14:paraId="59F1AA47">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与施工单位转固核对定稿</w:t>
            </w:r>
          </w:p>
        </w:tc>
        <w:tc>
          <w:tcPr>
            <w:tcW w:w="817" w:type="pct"/>
            <w:noWrap/>
            <w:vAlign w:val="center"/>
          </w:tcPr>
          <w:p w14:paraId="1115EB47">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60天</w:t>
            </w:r>
          </w:p>
        </w:tc>
      </w:tr>
      <w:tr w14:paraId="6EBB1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937" w:type="pct"/>
            <w:vMerge w:val="continue"/>
            <w:shd w:val="clear" w:color="auto" w:fill="FFFFFF"/>
            <w:noWrap/>
            <w:vAlign w:val="center"/>
          </w:tcPr>
          <w:p w14:paraId="350FBBEF">
            <w:pPr>
              <w:shd w:val="clear"/>
              <w:jc w:val="center"/>
              <w:rPr>
                <w:rFonts w:ascii="宋体" w:hAnsi="宋体" w:eastAsia="宋体" w:cs="宋体"/>
                <w:bCs/>
                <w:color w:val="auto"/>
                <w:sz w:val="24"/>
                <w:szCs w:val="24"/>
                <w:highlight w:val="none"/>
              </w:rPr>
            </w:pPr>
          </w:p>
        </w:tc>
        <w:tc>
          <w:tcPr>
            <w:tcW w:w="1290" w:type="pct"/>
            <w:noWrap/>
            <w:vAlign w:val="center"/>
          </w:tcPr>
          <w:p w14:paraId="0964ADBD">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土方桩基类</w:t>
            </w:r>
          </w:p>
        </w:tc>
        <w:tc>
          <w:tcPr>
            <w:tcW w:w="1956" w:type="pct"/>
            <w:vMerge w:val="continue"/>
            <w:vAlign w:val="center"/>
          </w:tcPr>
          <w:p w14:paraId="238BABC6">
            <w:pPr>
              <w:shd w:val="clear"/>
              <w:jc w:val="center"/>
              <w:rPr>
                <w:rFonts w:ascii="宋体" w:hAnsi="宋体" w:eastAsia="宋体" w:cs="宋体"/>
                <w:color w:val="auto"/>
                <w:sz w:val="24"/>
                <w:szCs w:val="24"/>
                <w:highlight w:val="none"/>
              </w:rPr>
            </w:pPr>
          </w:p>
        </w:tc>
        <w:tc>
          <w:tcPr>
            <w:tcW w:w="817" w:type="pct"/>
            <w:noWrap/>
            <w:vAlign w:val="center"/>
          </w:tcPr>
          <w:p w14:paraId="46EE80B6">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20天</w:t>
            </w:r>
          </w:p>
        </w:tc>
      </w:tr>
      <w:tr w14:paraId="6F9FC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937" w:type="pct"/>
            <w:vMerge w:val="continue"/>
            <w:shd w:val="clear" w:color="auto" w:fill="FFFFFF"/>
            <w:noWrap/>
            <w:vAlign w:val="center"/>
          </w:tcPr>
          <w:p w14:paraId="57E3E8B4">
            <w:pPr>
              <w:shd w:val="clear"/>
              <w:jc w:val="center"/>
              <w:rPr>
                <w:rFonts w:ascii="宋体" w:hAnsi="宋体" w:eastAsia="宋体" w:cs="宋体"/>
                <w:bCs/>
                <w:color w:val="auto"/>
                <w:sz w:val="24"/>
                <w:szCs w:val="24"/>
                <w:highlight w:val="none"/>
              </w:rPr>
            </w:pPr>
          </w:p>
        </w:tc>
        <w:tc>
          <w:tcPr>
            <w:tcW w:w="1290" w:type="pct"/>
            <w:vAlign w:val="center"/>
          </w:tcPr>
          <w:p w14:paraId="473A6654">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门窗、外立面幕墙、公区装修、景观、栏杆、供电、智能化、消防</w:t>
            </w:r>
          </w:p>
        </w:tc>
        <w:tc>
          <w:tcPr>
            <w:tcW w:w="1956" w:type="pct"/>
            <w:vMerge w:val="continue"/>
            <w:vAlign w:val="center"/>
          </w:tcPr>
          <w:p w14:paraId="0330CCB5">
            <w:pPr>
              <w:shd w:val="clear"/>
              <w:jc w:val="center"/>
              <w:rPr>
                <w:rFonts w:ascii="宋体" w:hAnsi="宋体" w:eastAsia="宋体" w:cs="宋体"/>
                <w:color w:val="auto"/>
                <w:sz w:val="24"/>
                <w:szCs w:val="24"/>
                <w:highlight w:val="none"/>
              </w:rPr>
            </w:pPr>
          </w:p>
        </w:tc>
        <w:tc>
          <w:tcPr>
            <w:tcW w:w="817" w:type="pct"/>
            <w:noWrap/>
            <w:vAlign w:val="center"/>
          </w:tcPr>
          <w:p w14:paraId="193DCAF9">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20天</w:t>
            </w:r>
          </w:p>
        </w:tc>
      </w:tr>
      <w:tr w14:paraId="45CAF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937" w:type="pct"/>
            <w:vMerge w:val="continue"/>
            <w:shd w:val="clear" w:color="auto" w:fill="FFFFFF"/>
            <w:noWrap/>
            <w:vAlign w:val="center"/>
          </w:tcPr>
          <w:p w14:paraId="16C9E7AA">
            <w:pPr>
              <w:shd w:val="clear"/>
              <w:jc w:val="center"/>
              <w:rPr>
                <w:rFonts w:ascii="宋体" w:hAnsi="宋体" w:eastAsia="宋体" w:cs="宋体"/>
                <w:bCs/>
                <w:color w:val="auto"/>
                <w:sz w:val="24"/>
                <w:szCs w:val="24"/>
                <w:highlight w:val="none"/>
              </w:rPr>
            </w:pPr>
          </w:p>
        </w:tc>
        <w:tc>
          <w:tcPr>
            <w:tcW w:w="1290" w:type="pct"/>
            <w:noWrap/>
            <w:vAlign w:val="center"/>
          </w:tcPr>
          <w:p w14:paraId="49BA780F">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其他小专业</w:t>
            </w:r>
          </w:p>
        </w:tc>
        <w:tc>
          <w:tcPr>
            <w:tcW w:w="1956" w:type="pct"/>
            <w:vMerge w:val="continue"/>
            <w:vAlign w:val="center"/>
          </w:tcPr>
          <w:p w14:paraId="2A600778">
            <w:pPr>
              <w:shd w:val="clear"/>
              <w:jc w:val="center"/>
              <w:rPr>
                <w:rFonts w:ascii="宋体" w:hAnsi="宋体" w:eastAsia="宋体" w:cs="宋体"/>
                <w:color w:val="auto"/>
                <w:sz w:val="24"/>
                <w:szCs w:val="24"/>
                <w:highlight w:val="none"/>
              </w:rPr>
            </w:pPr>
          </w:p>
        </w:tc>
        <w:tc>
          <w:tcPr>
            <w:tcW w:w="817" w:type="pct"/>
            <w:noWrap/>
            <w:vAlign w:val="center"/>
          </w:tcPr>
          <w:p w14:paraId="07378B2A">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15天</w:t>
            </w:r>
          </w:p>
        </w:tc>
      </w:tr>
      <w:tr w14:paraId="7BFC3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937" w:type="pct"/>
            <w:shd w:val="clear" w:color="auto" w:fill="FFFFFF"/>
            <w:noWrap/>
            <w:vAlign w:val="center"/>
          </w:tcPr>
          <w:p w14:paraId="3302233E">
            <w:pPr>
              <w:widowControl/>
              <w:shd w:val="clear"/>
              <w:jc w:val="center"/>
              <w:textAlignment w:val="center"/>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签证变更</w:t>
            </w:r>
          </w:p>
        </w:tc>
        <w:tc>
          <w:tcPr>
            <w:tcW w:w="1290" w:type="pct"/>
            <w:noWrap/>
            <w:vAlign w:val="center"/>
          </w:tcPr>
          <w:p w14:paraId="35BB8E3D">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签证变更审核定价</w:t>
            </w:r>
          </w:p>
        </w:tc>
        <w:tc>
          <w:tcPr>
            <w:tcW w:w="1956" w:type="pct"/>
            <w:vAlign w:val="center"/>
          </w:tcPr>
          <w:p w14:paraId="2033604E">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负责现场收方及签证变更定价</w:t>
            </w:r>
          </w:p>
        </w:tc>
        <w:tc>
          <w:tcPr>
            <w:tcW w:w="817" w:type="pct"/>
            <w:noWrap/>
            <w:vAlign w:val="center"/>
          </w:tcPr>
          <w:p w14:paraId="28308E10">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3天</w:t>
            </w:r>
          </w:p>
        </w:tc>
      </w:tr>
      <w:tr w14:paraId="7E6C7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937" w:type="pct"/>
            <w:shd w:val="clear" w:color="auto" w:fill="FFFFFF"/>
            <w:noWrap/>
            <w:vAlign w:val="center"/>
          </w:tcPr>
          <w:p w14:paraId="7CE1403E">
            <w:pPr>
              <w:widowControl/>
              <w:shd w:val="clear"/>
              <w:jc w:val="center"/>
              <w:textAlignment w:val="center"/>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询价</w:t>
            </w:r>
          </w:p>
        </w:tc>
        <w:tc>
          <w:tcPr>
            <w:tcW w:w="1290" w:type="pct"/>
            <w:noWrap/>
            <w:vAlign w:val="center"/>
          </w:tcPr>
          <w:p w14:paraId="565AABDC">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定额外询价</w:t>
            </w:r>
          </w:p>
        </w:tc>
        <w:tc>
          <w:tcPr>
            <w:tcW w:w="1956" w:type="pct"/>
            <w:vAlign w:val="center"/>
          </w:tcPr>
          <w:p w14:paraId="703E87DD">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负责市场调研询价并定价</w:t>
            </w:r>
          </w:p>
        </w:tc>
        <w:tc>
          <w:tcPr>
            <w:tcW w:w="817" w:type="pct"/>
            <w:noWrap/>
            <w:vAlign w:val="center"/>
          </w:tcPr>
          <w:p w14:paraId="3FD2D382">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3天</w:t>
            </w:r>
          </w:p>
        </w:tc>
      </w:tr>
      <w:tr w14:paraId="2FB24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937" w:type="pct"/>
            <w:shd w:val="clear" w:color="auto" w:fill="FFFFFF"/>
            <w:noWrap/>
            <w:vAlign w:val="center"/>
          </w:tcPr>
          <w:p w14:paraId="1DD72D06">
            <w:pPr>
              <w:widowControl/>
              <w:shd w:val="clear"/>
              <w:jc w:val="center"/>
              <w:textAlignment w:val="center"/>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进度款</w:t>
            </w:r>
          </w:p>
        </w:tc>
        <w:tc>
          <w:tcPr>
            <w:tcW w:w="1290" w:type="pct"/>
            <w:noWrap/>
            <w:vAlign w:val="center"/>
          </w:tcPr>
          <w:p w14:paraId="348ABBD7">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进度款审核</w:t>
            </w:r>
          </w:p>
        </w:tc>
        <w:tc>
          <w:tcPr>
            <w:tcW w:w="1956" w:type="pct"/>
            <w:vAlign w:val="center"/>
          </w:tcPr>
          <w:p w14:paraId="2F800716">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负责进度款审核</w:t>
            </w:r>
          </w:p>
        </w:tc>
        <w:tc>
          <w:tcPr>
            <w:tcW w:w="817" w:type="pct"/>
            <w:noWrap/>
            <w:vAlign w:val="center"/>
          </w:tcPr>
          <w:p w14:paraId="4CDB704D">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7天</w:t>
            </w:r>
          </w:p>
        </w:tc>
      </w:tr>
      <w:tr w14:paraId="61994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937" w:type="pct"/>
            <w:shd w:val="clear" w:color="auto" w:fill="FFFFFF"/>
            <w:noWrap/>
            <w:vAlign w:val="center"/>
          </w:tcPr>
          <w:p w14:paraId="40F017BE">
            <w:pPr>
              <w:widowControl/>
              <w:shd w:val="clear"/>
              <w:jc w:val="center"/>
              <w:textAlignment w:val="center"/>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结算</w:t>
            </w:r>
          </w:p>
        </w:tc>
        <w:tc>
          <w:tcPr>
            <w:tcW w:w="1290" w:type="pct"/>
            <w:noWrap/>
            <w:vAlign w:val="center"/>
          </w:tcPr>
          <w:p w14:paraId="2F5F3375">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合同结算</w:t>
            </w:r>
          </w:p>
        </w:tc>
        <w:tc>
          <w:tcPr>
            <w:tcW w:w="1956" w:type="pct"/>
            <w:vAlign w:val="center"/>
          </w:tcPr>
          <w:p w14:paraId="56564DF9">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负责全项目工程合同结算审核</w:t>
            </w:r>
          </w:p>
        </w:tc>
        <w:tc>
          <w:tcPr>
            <w:tcW w:w="817" w:type="pct"/>
            <w:noWrap/>
            <w:vAlign w:val="center"/>
          </w:tcPr>
          <w:p w14:paraId="3F677A76">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1B3C3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000" w:type="pct"/>
            <w:gridSpan w:val="4"/>
            <w:vAlign w:val="center"/>
          </w:tcPr>
          <w:p w14:paraId="2ED2214F">
            <w:pPr>
              <w:widowControl/>
              <w:shd w:val="clear"/>
              <w:ind w:firstLine="480" w:firstLineChars="200"/>
              <w:jc w:val="left"/>
              <w:textAlignment w:val="center"/>
              <w:rPr>
                <w:rFonts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bidi="ar"/>
              </w:rPr>
              <w:t>备注：以上为主要配合成本经理方案、施工图测算等事项，实际以具体对接为准；以上时间为自然日时间标准，不限于非工作时间完成和沟通，出具成果满足成本经理要求标准</w:t>
            </w:r>
          </w:p>
        </w:tc>
      </w:tr>
    </w:tbl>
    <w:p w14:paraId="1BC9D58A">
      <w:pPr>
        <w:pStyle w:val="24"/>
        <w:shd w:val="clear"/>
        <w:ind w:left="0" w:leftChars="0" w:firstLine="0" w:firstLineChars="0"/>
        <w:rPr>
          <w:rFonts w:ascii="宋体" w:hAnsi="宋体" w:eastAsia="宋体" w:cs="宋体"/>
          <w:color w:val="auto"/>
          <w:sz w:val="24"/>
          <w:szCs w:val="24"/>
          <w:highlight w:val="none"/>
        </w:rPr>
      </w:pPr>
    </w:p>
    <w:p w14:paraId="4CD8E6A7">
      <w:pPr>
        <w:widowControl/>
        <w:shd w:val="clear"/>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tbl>
      <w:tblPr>
        <w:tblStyle w:val="25"/>
        <w:tblW w:w="4999" w:type="pct"/>
        <w:jc w:val="center"/>
        <w:tblLayout w:type="fixed"/>
        <w:tblCellMar>
          <w:top w:w="0" w:type="dxa"/>
          <w:left w:w="108" w:type="dxa"/>
          <w:bottom w:w="0" w:type="dxa"/>
          <w:right w:w="108" w:type="dxa"/>
        </w:tblCellMar>
      </w:tblPr>
      <w:tblGrid>
        <w:gridCol w:w="10136"/>
      </w:tblGrid>
      <w:tr w14:paraId="0F4C24A5">
        <w:tblPrEx>
          <w:tblCellMar>
            <w:top w:w="0" w:type="dxa"/>
            <w:left w:w="108" w:type="dxa"/>
            <w:bottom w:w="0" w:type="dxa"/>
            <w:right w:w="108" w:type="dxa"/>
          </w:tblCellMar>
        </w:tblPrEx>
        <w:trPr>
          <w:trHeight w:val="550" w:hRule="atLeast"/>
          <w:jc w:val="center"/>
        </w:trPr>
        <w:tc>
          <w:tcPr>
            <w:tcW w:w="5000" w:type="pct"/>
            <w:tcBorders>
              <w:top w:val="nil"/>
              <w:left w:val="nil"/>
              <w:bottom w:val="nil"/>
              <w:right w:val="nil"/>
            </w:tcBorders>
            <w:noWrap/>
            <w:vAlign w:val="center"/>
          </w:tcPr>
          <w:tbl>
            <w:tblPr>
              <w:tblStyle w:val="25"/>
              <w:tblW w:w="5000" w:type="pct"/>
              <w:jc w:val="center"/>
              <w:tblLayout w:type="fixed"/>
              <w:tblCellMar>
                <w:top w:w="0" w:type="dxa"/>
                <w:left w:w="108" w:type="dxa"/>
                <w:bottom w:w="0" w:type="dxa"/>
                <w:right w:w="108" w:type="dxa"/>
              </w:tblCellMar>
            </w:tblPr>
            <w:tblGrid>
              <w:gridCol w:w="1231"/>
              <w:gridCol w:w="2613"/>
              <w:gridCol w:w="805"/>
              <w:gridCol w:w="1649"/>
              <w:gridCol w:w="687"/>
              <w:gridCol w:w="1659"/>
              <w:gridCol w:w="1276"/>
            </w:tblGrid>
            <w:tr w14:paraId="2445EE9A">
              <w:tblPrEx>
                <w:tblCellMar>
                  <w:top w:w="0" w:type="dxa"/>
                  <w:left w:w="108" w:type="dxa"/>
                  <w:bottom w:w="0" w:type="dxa"/>
                  <w:right w:w="108" w:type="dxa"/>
                </w:tblCellMar>
              </w:tblPrEx>
              <w:trPr>
                <w:trHeight w:val="672" w:hRule="atLeast"/>
                <w:jc w:val="center"/>
              </w:trPr>
              <w:tc>
                <w:tcPr>
                  <w:tcW w:w="5000" w:type="pct"/>
                  <w:gridSpan w:val="7"/>
                  <w:tcBorders>
                    <w:top w:val="nil"/>
                    <w:left w:val="nil"/>
                    <w:bottom w:val="nil"/>
                    <w:right w:val="nil"/>
                  </w:tcBorders>
                  <w:noWrap/>
                  <w:vAlign w:val="center"/>
                </w:tcPr>
                <w:p w14:paraId="15F8C2AB">
                  <w:pPr>
                    <w:widowControl/>
                    <w:shd w:val="clear"/>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拟派项目驻场团队人员配置</w:t>
                  </w:r>
                </w:p>
              </w:tc>
            </w:tr>
            <w:tr w14:paraId="1CC87E3F">
              <w:tblPrEx>
                <w:tblCellMar>
                  <w:top w:w="0" w:type="dxa"/>
                  <w:left w:w="108" w:type="dxa"/>
                  <w:bottom w:w="0" w:type="dxa"/>
                  <w:right w:w="108" w:type="dxa"/>
                </w:tblCellMar>
              </w:tblPrEx>
              <w:trPr>
                <w:trHeight w:val="672" w:hRule="atLeast"/>
                <w:jc w:val="center"/>
              </w:trPr>
              <w:tc>
                <w:tcPr>
                  <w:tcW w:w="621" w:type="pct"/>
                  <w:tcBorders>
                    <w:top w:val="single" w:color="000000" w:sz="4" w:space="0"/>
                    <w:left w:val="single" w:color="000000" w:sz="4" w:space="0"/>
                    <w:bottom w:val="single" w:color="000000" w:sz="4" w:space="0"/>
                    <w:right w:val="single" w:color="000000" w:sz="4" w:space="0"/>
                  </w:tcBorders>
                  <w:vAlign w:val="center"/>
                </w:tcPr>
                <w:p w14:paraId="1A8F79E3">
                  <w:pPr>
                    <w:widowControl/>
                    <w:shd w:val="clear"/>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本项目拟担任职务</w:t>
                  </w:r>
                </w:p>
              </w:tc>
              <w:tc>
                <w:tcPr>
                  <w:tcW w:w="1317" w:type="pct"/>
                  <w:tcBorders>
                    <w:top w:val="single" w:color="000000" w:sz="4" w:space="0"/>
                    <w:left w:val="single" w:color="000000" w:sz="4" w:space="0"/>
                    <w:bottom w:val="single" w:color="000000" w:sz="4" w:space="0"/>
                    <w:right w:val="single" w:color="000000" w:sz="4" w:space="0"/>
                  </w:tcBorders>
                  <w:vAlign w:val="center"/>
                </w:tcPr>
                <w:p w14:paraId="31EA3E2B">
                  <w:pPr>
                    <w:widowControl/>
                    <w:shd w:val="clear"/>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人员配备基本素质模型</w:t>
                  </w:r>
                </w:p>
              </w:tc>
              <w:tc>
                <w:tcPr>
                  <w:tcW w:w="406" w:type="pct"/>
                  <w:tcBorders>
                    <w:top w:val="single" w:color="000000" w:sz="4" w:space="0"/>
                    <w:left w:val="single" w:color="000000" w:sz="4" w:space="0"/>
                    <w:bottom w:val="single" w:color="000000" w:sz="4" w:space="0"/>
                    <w:right w:val="single" w:color="000000" w:sz="4" w:space="0"/>
                  </w:tcBorders>
                  <w:vAlign w:val="center"/>
                </w:tcPr>
                <w:p w14:paraId="3BF68A15">
                  <w:pPr>
                    <w:widowControl/>
                    <w:shd w:val="clear"/>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人员数量</w:t>
                  </w:r>
                </w:p>
              </w:tc>
              <w:tc>
                <w:tcPr>
                  <w:tcW w:w="831" w:type="pct"/>
                  <w:tcBorders>
                    <w:top w:val="single" w:color="000000" w:sz="4" w:space="0"/>
                    <w:left w:val="single" w:color="000000" w:sz="4" w:space="0"/>
                    <w:bottom w:val="single" w:color="000000" w:sz="4" w:space="0"/>
                    <w:right w:val="single" w:color="000000" w:sz="4" w:space="0"/>
                  </w:tcBorders>
                  <w:vAlign w:val="center"/>
                </w:tcPr>
                <w:p w14:paraId="29CC5606">
                  <w:pPr>
                    <w:widowControl/>
                    <w:shd w:val="clear"/>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履历经验</w:t>
                  </w:r>
                </w:p>
              </w:tc>
              <w:tc>
                <w:tcPr>
                  <w:tcW w:w="346" w:type="pct"/>
                  <w:tcBorders>
                    <w:top w:val="single" w:color="000000" w:sz="4" w:space="0"/>
                    <w:left w:val="single" w:color="000000" w:sz="4" w:space="0"/>
                    <w:bottom w:val="single" w:color="000000" w:sz="4" w:space="0"/>
                    <w:right w:val="single" w:color="000000" w:sz="4" w:space="0"/>
                  </w:tcBorders>
                  <w:vAlign w:val="center"/>
                </w:tcPr>
                <w:p w14:paraId="5E066A8E">
                  <w:pPr>
                    <w:widowControl/>
                    <w:shd w:val="clear"/>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从业年限</w:t>
                  </w:r>
                </w:p>
              </w:tc>
              <w:tc>
                <w:tcPr>
                  <w:tcW w:w="836" w:type="pct"/>
                  <w:tcBorders>
                    <w:top w:val="single" w:color="000000" w:sz="4" w:space="0"/>
                    <w:left w:val="single" w:color="000000" w:sz="4" w:space="0"/>
                    <w:bottom w:val="single" w:color="000000" w:sz="4" w:space="0"/>
                    <w:right w:val="single" w:color="000000" w:sz="4" w:space="0"/>
                  </w:tcBorders>
                  <w:vAlign w:val="center"/>
                </w:tcPr>
                <w:p w14:paraId="779B4771">
                  <w:pPr>
                    <w:widowControl/>
                    <w:shd w:val="clear"/>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专业/学历</w:t>
                  </w:r>
                </w:p>
              </w:tc>
              <w:tc>
                <w:tcPr>
                  <w:tcW w:w="640" w:type="pct"/>
                  <w:tcBorders>
                    <w:top w:val="single" w:color="000000" w:sz="4" w:space="0"/>
                    <w:left w:val="single" w:color="000000" w:sz="4" w:space="0"/>
                    <w:bottom w:val="single" w:color="000000" w:sz="4" w:space="0"/>
                    <w:right w:val="single" w:color="000000" w:sz="4" w:space="0"/>
                  </w:tcBorders>
                  <w:vAlign w:val="center"/>
                </w:tcPr>
                <w:p w14:paraId="6F4BD7FB">
                  <w:pPr>
                    <w:widowControl/>
                    <w:shd w:val="clear"/>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086D78C0">
              <w:tblPrEx>
                <w:tblCellMar>
                  <w:top w:w="0" w:type="dxa"/>
                  <w:left w:w="108" w:type="dxa"/>
                  <w:bottom w:w="0" w:type="dxa"/>
                  <w:right w:w="108" w:type="dxa"/>
                </w:tblCellMar>
              </w:tblPrEx>
              <w:trPr>
                <w:trHeight w:val="3466"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25077">
                  <w:pPr>
                    <w:widowControl/>
                    <w:shd w:val="clea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咨询项目</w:t>
                  </w:r>
                  <w:r>
                    <w:rPr>
                      <w:rFonts w:hint="eastAsia" w:ascii="宋体" w:hAnsi="宋体" w:eastAsia="宋体" w:cs="宋体"/>
                      <w:b/>
                      <w:bCs/>
                      <w:color w:val="auto"/>
                      <w:sz w:val="24"/>
                      <w:szCs w:val="24"/>
                      <w:highlight w:val="none"/>
                    </w:rPr>
                    <w:t>负责人</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1A141">
                  <w:pPr>
                    <w:widowControl/>
                    <w:shd w:val="clea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1、有较强的统筹管理能力；</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2、了解全过程咨询的流程与工作要点；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3、具有良好的沟通能力；</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4、能针对不同的问题给予业主合理的建议</w:t>
                  </w:r>
                </w:p>
                <w:p w14:paraId="20BD9B23">
                  <w:pPr>
                    <w:widowControl/>
                    <w:shd w:val="clea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5、掌握安徽18版本定额</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8F9EB">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FE485">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具有1个以上全过程</w:t>
                  </w:r>
                  <w:r>
                    <w:rPr>
                      <w:rFonts w:hint="eastAsia" w:ascii="宋体" w:hAnsi="宋体" w:eastAsia="宋体" w:cs="宋体"/>
                      <w:b w:val="0"/>
                      <w:bCs w:val="0"/>
                      <w:color w:val="auto"/>
                      <w:kern w:val="0"/>
                      <w:sz w:val="24"/>
                      <w:szCs w:val="24"/>
                      <w:highlight w:val="none"/>
                      <w:lang w:val="en-US" w:eastAsia="zh-CN"/>
                    </w:rPr>
                    <w:t>造价</w:t>
                  </w:r>
                  <w:r>
                    <w:rPr>
                      <w:rFonts w:hint="eastAsia" w:ascii="宋体" w:hAnsi="宋体" w:eastAsia="宋体" w:cs="宋体"/>
                      <w:b w:val="0"/>
                      <w:bCs w:val="0"/>
                      <w:color w:val="auto"/>
                      <w:kern w:val="0"/>
                      <w:sz w:val="24"/>
                      <w:szCs w:val="24"/>
                      <w:highlight w:val="none"/>
                    </w:rPr>
                    <w:t>咨询</w:t>
                  </w:r>
                  <w:r>
                    <w:rPr>
                      <w:rFonts w:hint="eastAsia" w:ascii="宋体" w:hAnsi="宋体" w:eastAsia="宋体" w:cs="宋体"/>
                      <w:b w:val="0"/>
                      <w:bCs w:val="0"/>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管理经验</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2F2FD">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≥5年</w:t>
                  </w:r>
                </w:p>
              </w:tc>
              <w:tc>
                <w:tcPr>
                  <w:tcW w:w="8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E77FF">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工程类相关专业/专科及以上</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E7ECA">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必须驻场，专职本项目</w:t>
                  </w:r>
                </w:p>
              </w:tc>
            </w:tr>
            <w:tr w14:paraId="4CDB75D9">
              <w:tblPrEx>
                <w:tblCellMar>
                  <w:top w:w="0" w:type="dxa"/>
                  <w:left w:w="108" w:type="dxa"/>
                  <w:bottom w:w="0" w:type="dxa"/>
                  <w:right w:w="108" w:type="dxa"/>
                </w:tblCellMar>
              </w:tblPrEx>
              <w:trPr>
                <w:trHeight w:val="1406"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1C132">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土建工程师</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71828">
                  <w:pPr>
                    <w:widowControl/>
                    <w:numPr>
                      <w:ilvl w:val="0"/>
                      <w:numId w:val="1"/>
                    </w:numPr>
                    <w:shd w:val="clea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有丰富的造价咨询专业技术经验；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2、了解全过程咨询中造价咨询工作要点；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3、具备较强的沟通、协调能力；</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4、能结合自身经验对专业方案给予业主合理的优化建议 </w:t>
                  </w:r>
                </w:p>
                <w:p w14:paraId="3F919F9A">
                  <w:pPr>
                    <w:widowControl/>
                    <w:shd w:val="clea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5、熟悉安徽18版本定额</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9E987">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FF9AD">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具有1个以上全过程</w:t>
                  </w:r>
                  <w:r>
                    <w:rPr>
                      <w:rFonts w:hint="eastAsia" w:ascii="宋体" w:hAnsi="宋体" w:eastAsia="宋体" w:cs="宋体"/>
                      <w:b w:val="0"/>
                      <w:bCs w:val="0"/>
                      <w:color w:val="auto"/>
                      <w:kern w:val="0"/>
                      <w:sz w:val="24"/>
                      <w:szCs w:val="24"/>
                      <w:highlight w:val="none"/>
                      <w:lang w:val="en-US" w:eastAsia="zh-CN"/>
                    </w:rPr>
                    <w:t>造价</w:t>
                  </w:r>
                  <w:r>
                    <w:rPr>
                      <w:rFonts w:hint="eastAsia" w:ascii="宋体" w:hAnsi="宋体" w:eastAsia="宋体" w:cs="宋体"/>
                      <w:b w:val="0"/>
                      <w:bCs w:val="0"/>
                      <w:color w:val="auto"/>
                      <w:kern w:val="0"/>
                      <w:sz w:val="24"/>
                      <w:szCs w:val="24"/>
                      <w:highlight w:val="none"/>
                    </w:rPr>
                    <w:t>咨询</w:t>
                  </w:r>
                  <w:r>
                    <w:rPr>
                      <w:rFonts w:hint="eastAsia" w:ascii="宋体" w:hAnsi="宋体" w:eastAsia="宋体" w:cs="宋体"/>
                      <w:b w:val="0"/>
                      <w:bCs w:val="0"/>
                      <w:color w:val="auto"/>
                      <w:kern w:val="0"/>
                      <w:sz w:val="24"/>
                      <w:szCs w:val="24"/>
                      <w:highlight w:val="none"/>
                      <w:lang w:val="en-US" w:eastAsia="zh-CN"/>
                    </w:rPr>
                    <w:t>项目管理</w:t>
                  </w:r>
                  <w:r>
                    <w:rPr>
                      <w:rFonts w:hint="eastAsia" w:ascii="宋体" w:hAnsi="宋体" w:eastAsia="宋体" w:cs="宋体"/>
                      <w:color w:val="auto"/>
                      <w:kern w:val="0"/>
                      <w:sz w:val="24"/>
                      <w:szCs w:val="24"/>
                      <w:highlight w:val="none"/>
                    </w:rPr>
                    <w:t>经验</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2E11D">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≥3年</w:t>
                  </w:r>
                </w:p>
              </w:tc>
              <w:tc>
                <w:tcPr>
                  <w:tcW w:w="8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AC496">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工程类相关专业/专科及以上</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4C24B">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必须驻场，专职本项目</w:t>
                  </w:r>
                </w:p>
              </w:tc>
            </w:tr>
            <w:tr w14:paraId="50D03B1D">
              <w:tblPrEx>
                <w:tblCellMar>
                  <w:top w:w="0" w:type="dxa"/>
                  <w:left w:w="108" w:type="dxa"/>
                  <w:bottom w:w="0" w:type="dxa"/>
                  <w:right w:w="108" w:type="dxa"/>
                </w:tblCellMar>
              </w:tblPrEx>
              <w:trPr>
                <w:trHeight w:val="1141"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E6FD2">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安装工程师</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56139">
                  <w:pPr>
                    <w:widowControl/>
                    <w:numPr>
                      <w:ilvl w:val="0"/>
                      <w:numId w:val="2"/>
                    </w:numPr>
                    <w:shd w:val="clea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有丰富的造价咨询专业技术经验；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2、了解全过程咨询中造价咨询工作要点；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3、能结合自身经验对专业方案给予业主合理的优化建议 </w:t>
                  </w:r>
                </w:p>
                <w:p w14:paraId="1D237948">
                  <w:pPr>
                    <w:widowControl/>
                    <w:shd w:val="clea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4、熟悉安徽18版本定额</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0DD58">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E8079">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具有1个以上全过程</w:t>
                  </w:r>
                  <w:r>
                    <w:rPr>
                      <w:rFonts w:hint="eastAsia" w:ascii="宋体" w:hAnsi="宋体" w:eastAsia="宋体" w:cs="宋体"/>
                      <w:b w:val="0"/>
                      <w:bCs w:val="0"/>
                      <w:color w:val="auto"/>
                      <w:kern w:val="0"/>
                      <w:sz w:val="24"/>
                      <w:szCs w:val="24"/>
                      <w:highlight w:val="none"/>
                      <w:lang w:val="en-US" w:eastAsia="zh-CN"/>
                    </w:rPr>
                    <w:t>造价</w:t>
                  </w:r>
                  <w:r>
                    <w:rPr>
                      <w:rFonts w:hint="eastAsia" w:ascii="宋体" w:hAnsi="宋体" w:eastAsia="宋体" w:cs="宋体"/>
                      <w:b w:val="0"/>
                      <w:bCs w:val="0"/>
                      <w:color w:val="auto"/>
                      <w:kern w:val="0"/>
                      <w:sz w:val="24"/>
                      <w:szCs w:val="24"/>
                      <w:highlight w:val="none"/>
                    </w:rPr>
                    <w:t>咨询</w:t>
                  </w:r>
                  <w:r>
                    <w:rPr>
                      <w:rFonts w:hint="eastAsia" w:ascii="宋体" w:hAnsi="宋体" w:eastAsia="宋体" w:cs="宋体"/>
                      <w:b w:val="0"/>
                      <w:bCs w:val="0"/>
                      <w:color w:val="auto"/>
                      <w:kern w:val="0"/>
                      <w:sz w:val="24"/>
                      <w:szCs w:val="24"/>
                      <w:highlight w:val="none"/>
                      <w:lang w:val="en-US" w:eastAsia="zh-CN"/>
                    </w:rPr>
                    <w:t>项目管理</w:t>
                  </w:r>
                  <w:r>
                    <w:rPr>
                      <w:rFonts w:hint="eastAsia" w:ascii="宋体" w:hAnsi="宋体" w:eastAsia="宋体" w:cs="宋体"/>
                      <w:color w:val="auto"/>
                      <w:kern w:val="0"/>
                      <w:sz w:val="24"/>
                      <w:szCs w:val="24"/>
                      <w:highlight w:val="none"/>
                    </w:rPr>
                    <w:t>经验</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5EF3B">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≥3年</w:t>
                  </w:r>
                </w:p>
              </w:tc>
              <w:tc>
                <w:tcPr>
                  <w:tcW w:w="8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EB053">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工程类相关专业/专科及以上</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9E973">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必须驻场，专职本项目</w:t>
                  </w:r>
                </w:p>
              </w:tc>
            </w:tr>
            <w:tr w14:paraId="5642DF12">
              <w:tblPrEx>
                <w:tblCellMar>
                  <w:top w:w="0" w:type="dxa"/>
                  <w:left w:w="108" w:type="dxa"/>
                  <w:bottom w:w="0" w:type="dxa"/>
                  <w:right w:w="108" w:type="dxa"/>
                </w:tblCellMar>
              </w:tblPrEx>
              <w:trPr>
                <w:trHeight w:val="1120"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EA157">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精装修工程师</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9A6C9">
                  <w:pPr>
                    <w:widowControl/>
                    <w:numPr>
                      <w:ilvl w:val="0"/>
                      <w:numId w:val="3"/>
                    </w:numPr>
                    <w:shd w:val="clea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有丰富的造价咨询专业技术经验；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2、了解全过程咨询中造价咨询工作要点；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3、能结合自身经验对专业方案给予业主合理的优化建议 </w:t>
                  </w:r>
                </w:p>
                <w:p w14:paraId="1BBBAD37">
                  <w:pPr>
                    <w:widowControl/>
                    <w:shd w:val="clea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4、熟悉安徽18版本定额</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F66F8">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13505">
                  <w:pPr>
                    <w:widowControl/>
                    <w:shd w:val="clear"/>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具有1个以上全过程</w:t>
                  </w:r>
                  <w:r>
                    <w:rPr>
                      <w:rFonts w:hint="eastAsia" w:ascii="宋体" w:hAnsi="宋体" w:eastAsia="宋体" w:cs="宋体"/>
                      <w:b w:val="0"/>
                      <w:bCs w:val="0"/>
                      <w:color w:val="auto"/>
                      <w:kern w:val="0"/>
                      <w:sz w:val="24"/>
                      <w:szCs w:val="24"/>
                      <w:highlight w:val="none"/>
                      <w:lang w:val="en-US" w:eastAsia="zh-CN"/>
                    </w:rPr>
                    <w:t>造价</w:t>
                  </w:r>
                  <w:r>
                    <w:rPr>
                      <w:rFonts w:hint="eastAsia" w:ascii="宋体" w:hAnsi="宋体" w:eastAsia="宋体" w:cs="宋体"/>
                      <w:b w:val="0"/>
                      <w:bCs w:val="0"/>
                      <w:color w:val="auto"/>
                      <w:kern w:val="0"/>
                      <w:sz w:val="24"/>
                      <w:szCs w:val="24"/>
                      <w:highlight w:val="none"/>
                    </w:rPr>
                    <w:t>咨询</w:t>
                  </w:r>
                  <w:r>
                    <w:rPr>
                      <w:rFonts w:hint="eastAsia" w:ascii="宋体" w:hAnsi="宋体" w:eastAsia="宋体" w:cs="宋体"/>
                      <w:b w:val="0"/>
                      <w:bCs w:val="0"/>
                      <w:color w:val="auto"/>
                      <w:kern w:val="0"/>
                      <w:sz w:val="24"/>
                      <w:szCs w:val="24"/>
                      <w:highlight w:val="none"/>
                      <w:lang w:val="en-US" w:eastAsia="zh-CN"/>
                    </w:rPr>
                    <w:t>项目管理</w:t>
                  </w:r>
                  <w:r>
                    <w:rPr>
                      <w:rFonts w:hint="eastAsia" w:ascii="宋体" w:hAnsi="宋体" w:eastAsia="宋体" w:cs="宋体"/>
                      <w:color w:val="auto"/>
                      <w:kern w:val="0"/>
                      <w:sz w:val="24"/>
                      <w:szCs w:val="24"/>
                      <w:highlight w:val="none"/>
                    </w:rPr>
                    <w:t>经验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装修专业</w:t>
                  </w:r>
                  <w:r>
                    <w:rPr>
                      <w:rFonts w:hint="eastAsia" w:ascii="宋体" w:hAnsi="宋体" w:eastAsia="宋体" w:cs="宋体"/>
                      <w:color w:val="auto"/>
                      <w:kern w:val="0"/>
                      <w:sz w:val="24"/>
                      <w:szCs w:val="24"/>
                      <w:highlight w:val="none"/>
                      <w:lang w:eastAsia="zh-CN"/>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E4C1E">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≥3年</w:t>
                  </w:r>
                </w:p>
              </w:tc>
              <w:tc>
                <w:tcPr>
                  <w:tcW w:w="8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2BFB9">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工程类相关专业/专科及以上</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81D92">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后台配合</w:t>
                  </w:r>
                </w:p>
              </w:tc>
            </w:tr>
            <w:tr w14:paraId="13B8A84D">
              <w:tblPrEx>
                <w:tblCellMar>
                  <w:top w:w="0" w:type="dxa"/>
                  <w:left w:w="108" w:type="dxa"/>
                  <w:bottom w:w="0" w:type="dxa"/>
                  <w:right w:w="108" w:type="dxa"/>
                </w:tblCellMar>
              </w:tblPrEx>
              <w:trPr>
                <w:trHeight w:val="1161"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1E1FA">
                  <w:pPr>
                    <w:widowControl/>
                    <w:shd w:val="clea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景观工程师</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D584F">
                  <w:pPr>
                    <w:widowControl/>
                    <w:numPr>
                      <w:ilvl w:val="0"/>
                      <w:numId w:val="4"/>
                    </w:numPr>
                    <w:shd w:val="clea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有丰富的造价咨询专业技术经验；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2、了解全过程咨询中造价咨询工作要点；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3、能结合自身经验对专业方案给予业主合理的优化建议 </w:t>
                  </w:r>
                </w:p>
                <w:p w14:paraId="25EB8760">
                  <w:pPr>
                    <w:widowControl/>
                    <w:shd w:val="clea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4、熟悉安徽18版本定额</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DFF94">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D35B9">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具有1个以上全过程</w:t>
                  </w:r>
                  <w:r>
                    <w:rPr>
                      <w:rFonts w:hint="eastAsia" w:ascii="宋体" w:hAnsi="宋体" w:eastAsia="宋体" w:cs="宋体"/>
                      <w:b w:val="0"/>
                      <w:bCs w:val="0"/>
                      <w:color w:val="auto"/>
                      <w:kern w:val="0"/>
                      <w:sz w:val="24"/>
                      <w:szCs w:val="24"/>
                      <w:highlight w:val="none"/>
                      <w:lang w:val="en-US" w:eastAsia="zh-CN"/>
                    </w:rPr>
                    <w:t>造价</w:t>
                  </w:r>
                  <w:r>
                    <w:rPr>
                      <w:rFonts w:hint="eastAsia" w:ascii="宋体" w:hAnsi="宋体" w:eastAsia="宋体" w:cs="宋体"/>
                      <w:b w:val="0"/>
                      <w:bCs w:val="0"/>
                      <w:color w:val="auto"/>
                      <w:kern w:val="0"/>
                      <w:sz w:val="24"/>
                      <w:szCs w:val="24"/>
                      <w:highlight w:val="none"/>
                    </w:rPr>
                    <w:t>咨询</w:t>
                  </w:r>
                  <w:r>
                    <w:rPr>
                      <w:rFonts w:hint="eastAsia" w:ascii="宋体" w:hAnsi="宋体" w:eastAsia="宋体" w:cs="宋体"/>
                      <w:b w:val="0"/>
                      <w:bCs w:val="0"/>
                      <w:color w:val="auto"/>
                      <w:kern w:val="0"/>
                      <w:sz w:val="24"/>
                      <w:szCs w:val="24"/>
                      <w:highlight w:val="none"/>
                      <w:lang w:val="en-US" w:eastAsia="zh-CN"/>
                    </w:rPr>
                    <w:t>项目管理</w:t>
                  </w:r>
                  <w:r>
                    <w:rPr>
                      <w:rFonts w:hint="eastAsia" w:ascii="宋体" w:hAnsi="宋体" w:eastAsia="宋体" w:cs="宋体"/>
                      <w:color w:val="auto"/>
                      <w:kern w:val="0"/>
                      <w:sz w:val="24"/>
                      <w:szCs w:val="24"/>
                      <w:highlight w:val="none"/>
                    </w:rPr>
                    <w:t>经验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景观专业</w:t>
                  </w:r>
                  <w:r>
                    <w:rPr>
                      <w:rFonts w:hint="eastAsia" w:ascii="宋体" w:hAnsi="宋体" w:eastAsia="宋体" w:cs="宋体"/>
                      <w:color w:val="auto"/>
                      <w:kern w:val="0"/>
                      <w:sz w:val="24"/>
                      <w:szCs w:val="24"/>
                      <w:highlight w:val="none"/>
                      <w:lang w:eastAsia="zh-CN"/>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8836C">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≥3年</w:t>
                  </w:r>
                </w:p>
              </w:tc>
              <w:tc>
                <w:tcPr>
                  <w:tcW w:w="8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32573">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工程类相关专业/专科及以上</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0E3F1">
                  <w:pPr>
                    <w:widowControl/>
                    <w:shd w:val="clea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后台配合</w:t>
                  </w:r>
                </w:p>
              </w:tc>
            </w:tr>
            <w:tr w14:paraId="15A9F6F9">
              <w:tblPrEx>
                <w:tblCellMar>
                  <w:top w:w="0" w:type="dxa"/>
                  <w:left w:w="108" w:type="dxa"/>
                  <w:bottom w:w="0" w:type="dxa"/>
                  <w:right w:w="108" w:type="dxa"/>
                </w:tblCellMar>
              </w:tblPrEx>
              <w:trPr>
                <w:trHeight w:val="550" w:hRule="atLeast"/>
                <w:jc w:val="center"/>
              </w:trPr>
              <w:tc>
                <w:tcPr>
                  <w:tcW w:w="5000" w:type="pct"/>
                  <w:gridSpan w:val="7"/>
                  <w:tcBorders>
                    <w:top w:val="nil"/>
                    <w:left w:val="nil"/>
                    <w:bottom w:val="nil"/>
                    <w:right w:val="nil"/>
                  </w:tcBorders>
                  <w:noWrap/>
                  <w:vAlign w:val="center"/>
                </w:tcPr>
                <w:p w14:paraId="417FA9B8">
                  <w:pPr>
                    <w:widowControl/>
                    <w:shd w:val="clear"/>
                    <w:spacing w:line="360" w:lineRule="auto"/>
                    <w:ind w:firstLine="482" w:firstLineChars="200"/>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备注：人员配置及更换必须经建设方成本经理面试</w:t>
                  </w:r>
                  <w:r>
                    <w:rPr>
                      <w:rFonts w:hint="eastAsia" w:ascii="宋体" w:hAnsi="宋体" w:eastAsia="宋体" w:cs="宋体"/>
                      <w:b/>
                      <w:bCs/>
                      <w:color w:val="auto"/>
                      <w:kern w:val="0"/>
                      <w:sz w:val="28"/>
                      <w:szCs w:val="28"/>
                      <w:highlight w:val="none"/>
                    </w:rPr>
                    <w:t>认可，必须驻场咨询团队作息时间与建设方保持一致；必须驻场人员为项目专职人员，中标单位不得额外安排本项目工作计划之外任务。“从业年限”以获得毕业证书之日起向后计算。</w:t>
                  </w:r>
                </w:p>
              </w:tc>
            </w:tr>
          </w:tbl>
          <w:p w14:paraId="5A0F5E23">
            <w:pPr>
              <w:widowControl/>
              <w:shd w:val="clear"/>
              <w:spacing w:line="360" w:lineRule="auto"/>
              <w:ind w:firstLine="482" w:firstLineChars="200"/>
              <w:jc w:val="left"/>
              <w:rPr>
                <w:rFonts w:ascii="宋体" w:hAnsi="宋体" w:eastAsia="宋体" w:cs="宋体"/>
                <w:b/>
                <w:bCs/>
                <w:color w:val="auto"/>
                <w:kern w:val="0"/>
                <w:sz w:val="24"/>
                <w:szCs w:val="24"/>
                <w:highlight w:val="none"/>
              </w:rPr>
            </w:pPr>
          </w:p>
        </w:tc>
      </w:tr>
    </w:tbl>
    <w:p w14:paraId="52921CF0">
      <w:pPr>
        <w:shd w:val="clea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66084C5">
      <w:pPr>
        <w:shd w:val="clear"/>
        <w:spacing w:line="360" w:lineRule="auto"/>
        <w:jc w:val="center"/>
        <w:outlineLvl w:val="0"/>
        <w:rPr>
          <w:rFonts w:asciiTheme="minorEastAsia" w:hAnsiTheme="minorEastAsia" w:eastAsiaTheme="minorEastAsia"/>
          <w:b/>
          <w:color w:val="auto"/>
          <w:sz w:val="28"/>
          <w:highlight w:val="none"/>
        </w:rPr>
      </w:pPr>
      <w:bookmarkStart w:id="38" w:name="_Toc8668"/>
      <w:r>
        <w:rPr>
          <w:rFonts w:hint="eastAsia" w:asciiTheme="minorEastAsia" w:hAnsiTheme="minorEastAsia" w:eastAsiaTheme="minorEastAsia"/>
          <w:b/>
          <w:color w:val="auto"/>
          <w:sz w:val="28"/>
          <w:highlight w:val="none"/>
        </w:rPr>
        <w:t>第四章  评审方法和标准</w:t>
      </w:r>
      <w:bookmarkEnd w:id="38"/>
    </w:p>
    <w:p w14:paraId="39D68811">
      <w:pPr>
        <w:shd w:val="clear"/>
        <w:spacing w:line="360" w:lineRule="auto"/>
        <w:ind w:firstLine="437"/>
        <w:outlineLvl w:val="1"/>
        <w:rPr>
          <w:rFonts w:asciiTheme="minorEastAsia" w:hAnsiTheme="minorEastAsia" w:eastAsiaTheme="minorEastAsia"/>
          <w:b/>
          <w:color w:val="auto"/>
          <w:sz w:val="24"/>
          <w:highlight w:val="none"/>
        </w:rPr>
      </w:pPr>
      <w:bookmarkStart w:id="39" w:name="_Toc21211"/>
      <w:bookmarkStart w:id="40" w:name="_Toc12199"/>
      <w:r>
        <w:rPr>
          <w:rFonts w:hint="eastAsia" w:asciiTheme="minorEastAsia" w:hAnsiTheme="minorEastAsia" w:eastAsiaTheme="minorEastAsia"/>
          <w:b/>
          <w:color w:val="auto"/>
          <w:sz w:val="24"/>
          <w:highlight w:val="none"/>
        </w:rPr>
        <w:t>一、总则</w:t>
      </w:r>
      <w:bookmarkEnd w:id="39"/>
      <w:bookmarkEnd w:id="40"/>
    </w:p>
    <w:p w14:paraId="09396D3D">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本项目将按照磋商文件第二章 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02A6BE3B">
      <w:pPr>
        <w:shd w:val="clear"/>
        <w:spacing w:line="360" w:lineRule="auto"/>
        <w:ind w:firstLine="437"/>
        <w:outlineLvl w:val="1"/>
        <w:rPr>
          <w:rFonts w:asciiTheme="minorEastAsia" w:hAnsiTheme="minorEastAsia" w:eastAsiaTheme="minorEastAsia"/>
          <w:b/>
          <w:color w:val="auto"/>
          <w:sz w:val="24"/>
          <w:highlight w:val="none"/>
        </w:rPr>
      </w:pPr>
      <w:bookmarkStart w:id="41" w:name="_Toc16885"/>
      <w:bookmarkStart w:id="42" w:name="_Toc13039"/>
      <w:r>
        <w:rPr>
          <w:rFonts w:hint="eastAsia" w:asciiTheme="minorEastAsia" w:hAnsiTheme="minorEastAsia" w:eastAsiaTheme="minorEastAsia"/>
          <w:b/>
          <w:color w:val="auto"/>
          <w:sz w:val="24"/>
          <w:highlight w:val="none"/>
        </w:rPr>
        <w:t>二、评审方法</w:t>
      </w:r>
      <w:bookmarkEnd w:id="41"/>
      <w:bookmarkEnd w:id="42"/>
    </w:p>
    <w:p w14:paraId="11B442DE">
      <w:pPr>
        <w:shd w:val="clea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2.1初审</w:t>
      </w:r>
    </w:p>
    <w:p w14:paraId="18A87583">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磋商小组对供应商的响应文件进行初审，以确定其是否满足磋商文件的实质性要求。初审表如下：</w:t>
      </w:r>
    </w:p>
    <w:tbl>
      <w:tblPr>
        <w:tblStyle w:val="2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964"/>
        <w:gridCol w:w="5424"/>
        <w:gridCol w:w="2249"/>
      </w:tblGrid>
      <w:tr w14:paraId="526B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6B5A7B75">
            <w:pPr>
              <w:shd w:val="clea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初审表</w:t>
            </w:r>
          </w:p>
        </w:tc>
      </w:tr>
      <w:tr w14:paraId="59E5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443DFE04">
            <w:pPr>
              <w:shd w:val="clea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4C9CFDD3">
            <w:pPr>
              <w:pStyle w:val="43"/>
              <w:pBdr>
                <w:bottom w:val="none" w:color="auto" w:sz="0" w:space="0"/>
              </w:pBdr>
              <w:shd w:val="clear"/>
              <w:tabs>
                <w:tab w:val="clear" w:pos="4153"/>
                <w:tab w:val="clear" w:pos="8306"/>
              </w:tabs>
              <w:snapToGrid w:val="0"/>
              <w:spacing w:line="360" w:lineRule="auto"/>
              <w:ind w:right="-10"/>
              <w:textAlignment w:val="auto"/>
              <w:rPr>
                <w:rFonts w:ascii="宋体" w:hAnsi="宋体" w:eastAsia="宋体"/>
                <w:color w:val="auto"/>
                <w:kern w:val="2"/>
                <w:szCs w:val="24"/>
                <w:highlight w:val="none"/>
              </w:rPr>
            </w:pPr>
            <w:r>
              <w:rPr>
                <w:rFonts w:hint="eastAsia" w:ascii="宋体" w:hAnsi="宋体" w:eastAsia="宋体"/>
                <w:color w:val="auto"/>
                <w:kern w:val="2"/>
                <w:szCs w:val="24"/>
                <w:highlight w:val="none"/>
              </w:rPr>
              <w:t>审查指标</w:t>
            </w:r>
          </w:p>
        </w:tc>
        <w:tc>
          <w:tcPr>
            <w:tcW w:w="2602" w:type="pct"/>
            <w:tcBorders>
              <w:bottom w:val="single" w:color="auto" w:sz="4" w:space="0"/>
            </w:tcBorders>
            <w:vAlign w:val="center"/>
          </w:tcPr>
          <w:p w14:paraId="7F3238C7">
            <w:pPr>
              <w:shd w:val="clea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审查标准</w:t>
            </w:r>
          </w:p>
        </w:tc>
        <w:tc>
          <w:tcPr>
            <w:tcW w:w="1077" w:type="pct"/>
            <w:tcBorders>
              <w:bottom w:val="single" w:color="auto" w:sz="4" w:space="0"/>
            </w:tcBorders>
            <w:vAlign w:val="center"/>
          </w:tcPr>
          <w:p w14:paraId="3C950E08">
            <w:pPr>
              <w:shd w:val="clea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4FBA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7" w:type="pct"/>
            <w:tcBorders>
              <w:bottom w:val="single" w:color="auto" w:sz="4" w:space="0"/>
            </w:tcBorders>
            <w:vAlign w:val="center"/>
          </w:tcPr>
          <w:p w14:paraId="7556D957">
            <w:pPr>
              <w:shd w:val="clea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65B1BC2A">
            <w:pPr>
              <w:shd w:val="clear"/>
              <w:spacing w:after="50" w:line="360" w:lineRule="auto"/>
              <w:ind w:right="-10"/>
              <w:jc w:val="center"/>
              <w:rPr>
                <w:rFonts w:ascii="宋体" w:hAnsi="宋体" w:eastAsia="宋体"/>
                <w:color w:val="auto"/>
                <w:sz w:val="24"/>
                <w:szCs w:val="28"/>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602" w:type="pct"/>
            <w:tcBorders>
              <w:bottom w:val="single" w:color="auto" w:sz="4" w:space="0"/>
            </w:tcBorders>
            <w:vAlign w:val="center"/>
          </w:tcPr>
          <w:p w14:paraId="29A1787B">
            <w:pPr>
              <w:shd w:val="clea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供有效的营业执照；</w:t>
            </w:r>
          </w:p>
          <w:p w14:paraId="646F3ED2">
            <w:pPr>
              <w:shd w:val="clea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供有效的事业单位法人证书；</w:t>
            </w:r>
          </w:p>
          <w:p w14:paraId="6BC4096B">
            <w:pPr>
              <w:shd w:val="clea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rPr>
              <w:t>或</w:t>
            </w:r>
            <w:r>
              <w:rPr>
                <w:rFonts w:ascii="宋体" w:hAnsi="宋体" w:eastAsia="宋体" w:cs="宋体"/>
                <w:color w:val="auto"/>
                <w:sz w:val="24"/>
                <w:szCs w:val="24"/>
                <w:highlight w:val="none"/>
              </w:rPr>
              <w:t>登记证书等证明文件；</w:t>
            </w:r>
          </w:p>
          <w:p w14:paraId="03986415">
            <w:pPr>
              <w:shd w:val="clea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w:t>
            </w:r>
            <w:r>
              <w:rPr>
                <w:rFonts w:ascii="宋体" w:hAnsi="宋体" w:eastAsia="宋体" w:cs="宋体"/>
                <w:color w:val="auto"/>
                <w:sz w:val="24"/>
                <w:szCs w:val="24"/>
                <w:highlight w:val="none"/>
              </w:rPr>
              <w:t>是个体工商户的，应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供有效的个体工商户营业执照；</w:t>
            </w:r>
          </w:p>
          <w:p w14:paraId="43835975">
            <w:pPr>
              <w:shd w:val="clear"/>
              <w:spacing w:after="50" w:line="360" w:lineRule="auto"/>
              <w:ind w:right="-10"/>
              <w:jc w:val="left"/>
              <w:rPr>
                <w:rFonts w:ascii="宋体" w:hAnsi="宋体" w:eastAsia="宋体"/>
                <w:color w:val="auto"/>
                <w:sz w:val="24"/>
                <w:szCs w:val="28"/>
                <w:highlight w:val="none"/>
              </w:rPr>
            </w:pPr>
            <w:r>
              <w:rPr>
                <w:rFonts w:hint="eastAsia" w:ascii="宋体" w:hAnsi="宋体" w:eastAsia="宋体" w:cs="宋体"/>
                <w:color w:val="auto"/>
                <w:sz w:val="24"/>
                <w:szCs w:val="24"/>
                <w:highlight w:val="none"/>
              </w:rPr>
              <w:t>（5）供应商</w:t>
            </w:r>
            <w:r>
              <w:rPr>
                <w:rFonts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供有效的自然人身份证明。</w:t>
            </w:r>
          </w:p>
        </w:tc>
        <w:tc>
          <w:tcPr>
            <w:tcW w:w="1077" w:type="pct"/>
            <w:vAlign w:val="center"/>
          </w:tcPr>
          <w:p w14:paraId="7C20CC2C">
            <w:pPr>
              <w:shd w:val="clear"/>
              <w:spacing w:line="360" w:lineRule="auto"/>
              <w:jc w:val="center"/>
              <w:rPr>
                <w:rFonts w:ascii="宋体" w:hAnsi="宋体" w:eastAsia="宋体"/>
                <w:color w:val="auto"/>
                <w:sz w:val="24"/>
                <w:highlight w:val="none"/>
              </w:rPr>
            </w:pPr>
            <w:r>
              <w:rPr>
                <w:rFonts w:hint="eastAsia" w:ascii="宋体" w:hAnsi="宋体" w:eastAsia="宋体" w:cs="宋体"/>
                <w:color w:val="auto"/>
                <w:sz w:val="24"/>
                <w:szCs w:val="24"/>
                <w:highlight w:val="none"/>
              </w:rPr>
              <w:t>提供材料扫描件或电子证照，应完整的体现出材料或电子证照全部内容。联合体磋商的联合体各方均须提供。</w:t>
            </w:r>
          </w:p>
        </w:tc>
      </w:tr>
      <w:tr w14:paraId="6521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7" w:type="pct"/>
            <w:tcBorders>
              <w:bottom w:val="single" w:color="auto" w:sz="4" w:space="0"/>
            </w:tcBorders>
            <w:vAlign w:val="center"/>
          </w:tcPr>
          <w:p w14:paraId="34E83E69">
            <w:pPr>
              <w:shd w:val="clea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942" w:type="pct"/>
            <w:tcBorders>
              <w:bottom w:val="single" w:color="auto" w:sz="4" w:space="0"/>
            </w:tcBorders>
            <w:vAlign w:val="center"/>
          </w:tcPr>
          <w:p w14:paraId="72CEA6B5">
            <w:pPr>
              <w:shd w:val="clea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18"/>
                <w:highlight w:val="none"/>
              </w:rPr>
              <w:t>供应商资格声明书</w:t>
            </w:r>
          </w:p>
        </w:tc>
        <w:tc>
          <w:tcPr>
            <w:tcW w:w="2602" w:type="pct"/>
            <w:tcBorders>
              <w:bottom w:val="single" w:color="auto" w:sz="4" w:space="0"/>
            </w:tcBorders>
            <w:vAlign w:val="center"/>
          </w:tcPr>
          <w:p w14:paraId="3D5FF333">
            <w:pPr>
              <w:shd w:val="clear"/>
              <w:spacing w:after="50" w:line="360" w:lineRule="auto"/>
              <w:ind w:right="-10"/>
              <w:jc w:val="left"/>
              <w:rPr>
                <w:rFonts w:ascii="宋体" w:hAnsi="宋体" w:eastAsia="宋体"/>
                <w:color w:val="auto"/>
                <w:sz w:val="24"/>
                <w:szCs w:val="28"/>
                <w:highlight w:val="none"/>
              </w:rPr>
            </w:pP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供符合</w:t>
            </w:r>
            <w:r>
              <w:rPr>
                <w:rFonts w:hint="eastAsia" w:ascii="宋体" w:hAnsi="宋体" w:eastAsia="宋体" w:cs="宋体"/>
                <w:color w:val="auto"/>
                <w:sz w:val="24"/>
                <w:szCs w:val="24"/>
                <w:highlight w:val="none"/>
              </w:rPr>
              <w:t>磋商</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rPr>
              <w:t>。</w:t>
            </w:r>
          </w:p>
        </w:tc>
        <w:tc>
          <w:tcPr>
            <w:tcW w:w="1077" w:type="pct"/>
            <w:vAlign w:val="center"/>
          </w:tcPr>
          <w:p w14:paraId="3F5D8D11">
            <w:pPr>
              <w:shd w:val="clear"/>
              <w:spacing w:line="360" w:lineRule="auto"/>
              <w:jc w:val="center"/>
              <w:rPr>
                <w:rFonts w:ascii="宋体" w:hAnsi="宋体" w:eastAsia="宋体" w:cs="宋体"/>
                <w:color w:val="auto"/>
                <w:sz w:val="24"/>
                <w:szCs w:val="24"/>
                <w:highlight w:val="none"/>
              </w:rPr>
            </w:pPr>
            <w:r>
              <w:rPr>
                <w:rFonts w:hint="eastAsia" w:ascii="宋体" w:hAnsi="宋体" w:eastAsia="宋体"/>
                <w:color w:val="auto"/>
                <w:sz w:val="24"/>
                <w:highlight w:val="none"/>
              </w:rPr>
              <w:t>详见第六章响应文件格式。</w:t>
            </w:r>
          </w:p>
        </w:tc>
      </w:tr>
      <w:tr w14:paraId="6E57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085AEB12">
            <w:pPr>
              <w:shd w:val="clea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942" w:type="pct"/>
            <w:tcBorders>
              <w:bottom w:val="single" w:color="auto" w:sz="4" w:space="0"/>
            </w:tcBorders>
            <w:vAlign w:val="center"/>
          </w:tcPr>
          <w:p w14:paraId="29822E38">
            <w:pPr>
              <w:shd w:val="clea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18"/>
                <w:highlight w:val="none"/>
              </w:rPr>
              <w:t>供应商</w:t>
            </w:r>
            <w:r>
              <w:rPr>
                <w:rFonts w:hint="eastAsia" w:ascii="宋体" w:hAnsi="宋体" w:eastAsia="宋体" w:cs="宋体"/>
                <w:color w:val="auto"/>
                <w:sz w:val="24"/>
                <w:szCs w:val="24"/>
                <w:highlight w:val="none"/>
              </w:rPr>
              <w:t>信用记录</w:t>
            </w:r>
          </w:p>
        </w:tc>
        <w:tc>
          <w:tcPr>
            <w:tcW w:w="2602" w:type="pct"/>
            <w:tcBorders>
              <w:bottom w:val="single" w:color="auto" w:sz="4" w:space="0"/>
            </w:tcBorders>
            <w:vAlign w:val="center"/>
          </w:tcPr>
          <w:p w14:paraId="10EEC040">
            <w:pPr>
              <w:shd w:val="clear"/>
              <w:spacing w:after="50" w:line="360" w:lineRule="auto"/>
              <w:ind w:right="-10"/>
              <w:jc w:val="left"/>
              <w:rPr>
                <w:color w:val="auto"/>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不得存在</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77" w:type="pct"/>
            <w:tcBorders>
              <w:bottom w:val="single" w:color="auto" w:sz="4" w:space="0"/>
            </w:tcBorders>
            <w:vAlign w:val="center"/>
          </w:tcPr>
          <w:p w14:paraId="47482A52">
            <w:pPr>
              <w:shd w:val="clear"/>
              <w:spacing w:line="360" w:lineRule="auto"/>
              <w:jc w:val="center"/>
              <w:rPr>
                <w:color w:val="auto"/>
                <w:highlight w:val="none"/>
              </w:rPr>
            </w:pPr>
            <w:r>
              <w:rPr>
                <w:rFonts w:hint="eastAsia" w:ascii="宋体" w:hAnsi="宋体" w:eastAsia="宋体" w:cs="宋体"/>
                <w:color w:val="auto"/>
                <w:sz w:val="24"/>
                <w:szCs w:val="24"/>
                <w:highlight w:val="none"/>
              </w:rPr>
              <w:t>无须供应商提供，由采购人或采购代理机构查询。</w:t>
            </w:r>
          </w:p>
        </w:tc>
      </w:tr>
      <w:tr w14:paraId="142C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431A15E1">
            <w:pPr>
              <w:shd w:val="clea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942" w:type="pct"/>
            <w:tcBorders>
              <w:bottom w:val="single" w:color="auto" w:sz="4" w:space="0"/>
            </w:tcBorders>
            <w:vAlign w:val="center"/>
          </w:tcPr>
          <w:p w14:paraId="65EE03B5">
            <w:pPr>
              <w:shd w:val="clear"/>
              <w:spacing w:after="50" w:line="360" w:lineRule="auto"/>
              <w:ind w:right="-1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中小企业证明文件（</w:t>
            </w:r>
            <w:r>
              <w:rPr>
                <w:rFonts w:hint="eastAsia" w:ascii="宋体" w:hAnsi="宋体" w:eastAsia="宋体" w:cs="宋体"/>
                <w:i/>
                <w:iCs/>
                <w:color w:val="auto"/>
                <w:sz w:val="24"/>
                <w:szCs w:val="24"/>
                <w:highlight w:val="none"/>
              </w:rPr>
              <w:t>适用于专门面向中小企业采购项目或预留中小企业采购份额项目</w:t>
            </w:r>
            <w:r>
              <w:rPr>
                <w:rFonts w:hint="eastAsia" w:ascii="宋体" w:hAnsi="宋体" w:eastAsia="宋体" w:cs="宋体"/>
                <w:color w:val="auto"/>
                <w:sz w:val="24"/>
                <w:szCs w:val="24"/>
                <w:highlight w:val="none"/>
              </w:rPr>
              <w:t>）</w:t>
            </w:r>
          </w:p>
        </w:tc>
        <w:tc>
          <w:tcPr>
            <w:tcW w:w="2602" w:type="pct"/>
            <w:tcBorders>
              <w:bottom w:val="single" w:color="auto" w:sz="4" w:space="0"/>
            </w:tcBorders>
          </w:tcPr>
          <w:p w14:paraId="4E73198F">
            <w:pPr>
              <w:shd w:val="clear"/>
              <w:spacing w:after="50" w:line="360" w:lineRule="auto"/>
              <w:ind w:right="-10"/>
              <w:jc w:val="left"/>
              <w:rPr>
                <w:rFonts w:ascii="宋体" w:hAnsi="宋体" w:eastAsia="宋体" w:cs="宋体"/>
                <w:color w:val="auto"/>
                <w:sz w:val="24"/>
                <w:szCs w:val="24"/>
                <w:highlight w:val="none"/>
              </w:rPr>
            </w:pPr>
            <w:r>
              <w:rPr>
                <w:rFonts w:hint="eastAsia" w:ascii="宋体" w:hAnsi="宋体" w:eastAsia="宋体"/>
                <w:color w:val="auto"/>
                <w:sz w:val="24"/>
                <w:szCs w:val="28"/>
                <w:highlight w:val="none"/>
              </w:rPr>
              <w:t>符合申请人的资格要求中落实政府采购政策需满足的资格要求：</w:t>
            </w:r>
          </w:p>
          <w:p w14:paraId="7B052834">
            <w:pPr>
              <w:shd w:val="clea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（1）专门面向中小企业采购的，供应商应提供《中小企业声明函》或《残疾人福利性单位声明函》或由省级以上监狱管理局、戒毒管理局（含新疆 生产建设兵团）出具的属于监狱企业的证明文件。</w:t>
            </w:r>
          </w:p>
          <w:p w14:paraId="3620DAB4">
            <w:pPr>
              <w:shd w:val="clea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磋商文件关于预留份额的要求。</w:t>
            </w:r>
          </w:p>
        </w:tc>
        <w:tc>
          <w:tcPr>
            <w:tcW w:w="1077" w:type="pct"/>
            <w:tcBorders>
              <w:bottom w:val="single" w:color="auto" w:sz="4" w:space="0"/>
            </w:tcBorders>
            <w:vAlign w:val="center"/>
          </w:tcPr>
          <w:p w14:paraId="1C3515AA">
            <w:pPr>
              <w:shd w:val="clear"/>
              <w:spacing w:after="50" w:line="360" w:lineRule="auto"/>
              <w:ind w:right="-10"/>
              <w:jc w:val="center"/>
              <w:rPr>
                <w:rFonts w:ascii="宋体" w:hAnsi="宋体" w:eastAsia="宋体" w:cs="宋体"/>
                <w:color w:val="auto"/>
                <w:sz w:val="24"/>
                <w:szCs w:val="24"/>
                <w:highlight w:val="none"/>
              </w:rPr>
            </w:pPr>
            <w:r>
              <w:rPr>
                <w:rFonts w:hint="eastAsia" w:ascii="宋体" w:hAnsi="宋体" w:eastAsia="宋体"/>
                <w:color w:val="auto"/>
                <w:sz w:val="24"/>
                <w:highlight w:val="none"/>
              </w:rPr>
              <w:t>详见第六章响应文件格式。</w:t>
            </w:r>
          </w:p>
        </w:tc>
      </w:tr>
      <w:tr w14:paraId="1E79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55B80837">
            <w:pPr>
              <w:shd w:val="clea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5</w:t>
            </w:r>
          </w:p>
        </w:tc>
        <w:tc>
          <w:tcPr>
            <w:tcW w:w="942" w:type="pct"/>
            <w:tcBorders>
              <w:bottom w:val="single" w:color="auto" w:sz="4" w:space="0"/>
            </w:tcBorders>
          </w:tcPr>
          <w:p w14:paraId="69BA44EA">
            <w:pPr>
              <w:shd w:val="clear"/>
              <w:spacing w:after="50" w:line="360" w:lineRule="auto"/>
              <w:ind w:right="-1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拟分包情况说明及分包意向协议（</w:t>
            </w:r>
            <w:r>
              <w:rPr>
                <w:rFonts w:hint="eastAsia" w:ascii="宋体" w:hAnsi="宋体" w:eastAsia="宋体" w:cs="宋体"/>
                <w:i/>
                <w:iCs/>
                <w:color w:val="auto"/>
                <w:sz w:val="24"/>
                <w:szCs w:val="24"/>
                <w:highlight w:val="none"/>
              </w:rPr>
              <w:t>适用于合同分包预留中小企业采购份额项目</w:t>
            </w:r>
            <w:r>
              <w:rPr>
                <w:rFonts w:hint="eastAsia" w:ascii="宋体" w:hAnsi="宋体" w:eastAsia="宋体" w:cs="宋体"/>
                <w:color w:val="auto"/>
                <w:sz w:val="24"/>
                <w:szCs w:val="24"/>
                <w:highlight w:val="none"/>
              </w:rPr>
              <w:t>）</w:t>
            </w:r>
          </w:p>
        </w:tc>
        <w:tc>
          <w:tcPr>
            <w:tcW w:w="2602" w:type="pct"/>
            <w:tcBorders>
              <w:bottom w:val="single" w:color="auto" w:sz="4" w:space="0"/>
            </w:tcBorders>
            <w:vAlign w:val="center"/>
          </w:tcPr>
          <w:p w14:paraId="145106FD">
            <w:pPr>
              <w:shd w:val="clear"/>
              <w:spacing w:after="50" w:line="360" w:lineRule="auto"/>
              <w:ind w:right="-1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通过分包措施预留部分采购份额面向中小企业采购、且供应商因落实政府采购政策拟进行分包的。</w:t>
            </w:r>
          </w:p>
        </w:tc>
        <w:tc>
          <w:tcPr>
            <w:tcW w:w="1077" w:type="pct"/>
            <w:tcBorders>
              <w:bottom w:val="single" w:color="auto" w:sz="4" w:space="0"/>
            </w:tcBorders>
            <w:vAlign w:val="center"/>
          </w:tcPr>
          <w:p w14:paraId="7584B4FC">
            <w:pPr>
              <w:shd w:val="clear"/>
              <w:spacing w:after="50" w:line="360" w:lineRule="auto"/>
              <w:ind w:right="-10"/>
              <w:jc w:val="center"/>
              <w:rPr>
                <w:rFonts w:ascii="宋体" w:hAnsi="宋体" w:eastAsia="宋体" w:cs="宋体"/>
                <w:color w:val="auto"/>
                <w:sz w:val="24"/>
                <w:szCs w:val="24"/>
                <w:highlight w:val="none"/>
              </w:rPr>
            </w:pPr>
            <w:r>
              <w:rPr>
                <w:rFonts w:hint="eastAsia" w:ascii="宋体" w:hAnsi="宋体" w:eastAsia="宋体"/>
                <w:color w:val="auto"/>
                <w:sz w:val="24"/>
                <w:highlight w:val="none"/>
              </w:rPr>
              <w:t>详见第六章响应文件格式。</w:t>
            </w:r>
          </w:p>
        </w:tc>
      </w:tr>
      <w:tr w14:paraId="1952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440B3865">
            <w:pPr>
              <w:shd w:val="clea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6</w:t>
            </w:r>
          </w:p>
        </w:tc>
        <w:tc>
          <w:tcPr>
            <w:tcW w:w="942" w:type="pct"/>
            <w:tcBorders>
              <w:bottom w:val="single" w:color="auto" w:sz="4" w:space="0"/>
            </w:tcBorders>
            <w:vAlign w:val="center"/>
          </w:tcPr>
          <w:p w14:paraId="6E8F0244">
            <w:pPr>
              <w:shd w:val="clear"/>
              <w:spacing w:after="50" w:line="360" w:lineRule="auto"/>
              <w:ind w:right="-10"/>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其它落实政府采</w:t>
            </w:r>
            <w:r>
              <w:rPr>
                <w:rFonts w:ascii="宋体" w:hAnsi="宋体" w:eastAsia="宋体" w:cs="宋体"/>
                <w:color w:val="auto"/>
                <w:spacing w:val="11"/>
                <w:sz w:val="24"/>
                <w:szCs w:val="24"/>
                <w:highlight w:val="none"/>
              </w:rPr>
              <w:t>购政策的资格要</w:t>
            </w:r>
            <w:r>
              <w:rPr>
                <w:rFonts w:ascii="宋体" w:hAnsi="宋体" w:eastAsia="宋体" w:cs="宋体"/>
                <w:color w:val="auto"/>
                <w:sz w:val="24"/>
                <w:szCs w:val="24"/>
                <w:highlight w:val="none"/>
              </w:rPr>
              <w:t>求</w:t>
            </w:r>
          </w:p>
        </w:tc>
        <w:tc>
          <w:tcPr>
            <w:tcW w:w="2602" w:type="pct"/>
            <w:tcBorders>
              <w:bottom w:val="single" w:color="auto" w:sz="4" w:space="0"/>
            </w:tcBorders>
            <w:vAlign w:val="center"/>
          </w:tcPr>
          <w:p w14:paraId="3EB81498">
            <w:pPr>
              <w:shd w:val="clear"/>
              <w:spacing w:after="50" w:line="360" w:lineRule="auto"/>
              <w:ind w:right="-1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如有，见第一章《</w:t>
            </w:r>
            <w:r>
              <w:rPr>
                <w:rFonts w:hint="eastAsia" w:ascii="宋体" w:hAnsi="宋体" w:eastAsia="宋体" w:cs="宋体"/>
                <w:color w:val="auto"/>
                <w:spacing w:val="-2"/>
                <w:sz w:val="24"/>
                <w:szCs w:val="24"/>
                <w:highlight w:val="none"/>
              </w:rPr>
              <w:t>竞争性磋商公告</w:t>
            </w:r>
            <w:r>
              <w:rPr>
                <w:rFonts w:ascii="宋体" w:hAnsi="宋体" w:eastAsia="宋体" w:cs="宋体"/>
                <w:color w:val="auto"/>
                <w:spacing w:val="-2"/>
                <w:sz w:val="24"/>
                <w:szCs w:val="24"/>
                <w:highlight w:val="none"/>
              </w:rPr>
              <w:t>》</w:t>
            </w:r>
          </w:p>
        </w:tc>
        <w:tc>
          <w:tcPr>
            <w:tcW w:w="1077" w:type="pct"/>
            <w:tcBorders>
              <w:bottom w:val="single" w:color="auto" w:sz="4" w:space="0"/>
            </w:tcBorders>
            <w:vAlign w:val="center"/>
          </w:tcPr>
          <w:p w14:paraId="0FEC3632">
            <w:pPr>
              <w:shd w:val="clear"/>
              <w:spacing w:after="50" w:line="360" w:lineRule="auto"/>
              <w:ind w:right="-10"/>
              <w:jc w:val="center"/>
              <w:rPr>
                <w:rFonts w:ascii="宋体" w:hAnsi="宋体" w:eastAsia="宋体"/>
                <w:color w:val="auto"/>
                <w:sz w:val="24"/>
                <w:highlight w:val="none"/>
              </w:rPr>
            </w:pPr>
            <w:r>
              <w:rPr>
                <w:rFonts w:hint="eastAsia" w:ascii="宋体" w:hAnsi="宋体" w:eastAsia="宋体" w:cs="宋体"/>
                <w:color w:val="auto"/>
                <w:sz w:val="24"/>
                <w:szCs w:val="24"/>
                <w:highlight w:val="none"/>
              </w:rPr>
              <w:t>提供材料扫描件或电子证照，应完整的体现出材料或电子证照全部内容。</w:t>
            </w:r>
          </w:p>
        </w:tc>
      </w:tr>
      <w:tr w14:paraId="6BFA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5779A948">
            <w:pPr>
              <w:shd w:val="clea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7</w:t>
            </w:r>
          </w:p>
        </w:tc>
        <w:tc>
          <w:tcPr>
            <w:tcW w:w="942" w:type="pct"/>
            <w:tcBorders>
              <w:bottom w:val="single" w:color="auto" w:sz="4" w:space="0"/>
            </w:tcBorders>
            <w:vAlign w:val="center"/>
          </w:tcPr>
          <w:p w14:paraId="544A4331">
            <w:pPr>
              <w:shd w:val="clear"/>
              <w:spacing w:after="50" w:line="360" w:lineRule="auto"/>
              <w:ind w:right="-10"/>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本项目对于联合</w:t>
            </w:r>
            <w:r>
              <w:rPr>
                <w:rFonts w:ascii="宋体" w:hAnsi="宋体" w:eastAsia="宋体" w:cs="宋体"/>
                <w:color w:val="auto"/>
                <w:spacing w:val="-2"/>
                <w:sz w:val="24"/>
                <w:szCs w:val="24"/>
                <w:highlight w:val="none"/>
              </w:rPr>
              <w:t>体的要求</w:t>
            </w:r>
            <w:r>
              <w:rPr>
                <w:rFonts w:hint="eastAsia" w:ascii="宋体" w:hAnsi="宋体" w:eastAsia="宋体" w:cs="宋体"/>
                <w:color w:val="auto"/>
                <w:spacing w:val="-2"/>
                <w:sz w:val="24"/>
                <w:szCs w:val="24"/>
                <w:highlight w:val="none"/>
              </w:rPr>
              <w:t>（</w:t>
            </w:r>
            <w:r>
              <w:rPr>
                <w:rFonts w:hint="eastAsia" w:ascii="宋体" w:hAnsi="宋体" w:eastAsia="宋体" w:cs="宋体"/>
                <w:i/>
                <w:iCs/>
                <w:color w:val="auto"/>
                <w:spacing w:val="-2"/>
                <w:sz w:val="24"/>
                <w:szCs w:val="24"/>
                <w:highlight w:val="none"/>
              </w:rPr>
              <w:t>适用于接受联合体磋商项目</w:t>
            </w:r>
            <w:r>
              <w:rPr>
                <w:rFonts w:hint="eastAsia" w:ascii="宋体" w:hAnsi="宋体" w:eastAsia="宋体" w:cs="宋体"/>
                <w:color w:val="auto"/>
                <w:spacing w:val="-2"/>
                <w:sz w:val="24"/>
                <w:szCs w:val="24"/>
                <w:highlight w:val="none"/>
              </w:rPr>
              <w:t>）</w:t>
            </w:r>
          </w:p>
        </w:tc>
        <w:tc>
          <w:tcPr>
            <w:tcW w:w="2602" w:type="pct"/>
            <w:tcBorders>
              <w:bottom w:val="single" w:color="auto" w:sz="4" w:space="0"/>
            </w:tcBorders>
            <w:vAlign w:val="center"/>
          </w:tcPr>
          <w:p w14:paraId="699130DB">
            <w:pPr>
              <w:shd w:val="clear"/>
              <w:spacing w:after="50" w:line="360" w:lineRule="auto"/>
              <w:ind w:right="-10"/>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联合体磋商的</w:t>
            </w:r>
            <w:r>
              <w:rPr>
                <w:rFonts w:hint="eastAsia" w:ascii="宋体" w:hAnsi="宋体" w:eastAsia="宋体" w:cs="宋体"/>
                <w:color w:val="auto"/>
                <w:spacing w:val="10"/>
                <w:sz w:val="24"/>
                <w:szCs w:val="24"/>
                <w:highlight w:val="none"/>
              </w:rPr>
              <w:t>详见</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须知正文第</w:t>
            </w:r>
            <w:r>
              <w:rPr>
                <w:rFonts w:hint="eastAsia" w:ascii="宋体" w:hAnsi="宋体" w:eastAsia="宋体" w:cs="宋体"/>
                <w:color w:val="auto"/>
                <w:sz w:val="24"/>
                <w:szCs w:val="24"/>
                <w:highlight w:val="none"/>
              </w:rPr>
              <w:t>1.5，且</w:t>
            </w:r>
            <w:r>
              <w:rPr>
                <w:rFonts w:hint="eastAsia" w:ascii="宋体" w:hAnsi="宋体" w:eastAsia="宋体" w:cs="宋体"/>
                <w:color w:val="auto"/>
                <w:spacing w:val="10"/>
                <w:sz w:val="24"/>
                <w:szCs w:val="24"/>
                <w:highlight w:val="none"/>
              </w:rPr>
              <w:t>提</w:t>
            </w:r>
            <w:r>
              <w:rPr>
                <w:rFonts w:ascii="宋体" w:hAnsi="宋体" w:eastAsia="宋体" w:cs="宋体"/>
                <w:color w:val="auto"/>
                <w:spacing w:val="10"/>
                <w:sz w:val="24"/>
                <w:szCs w:val="24"/>
                <w:highlight w:val="none"/>
              </w:rPr>
              <w:t>供《联合协议》。</w:t>
            </w:r>
          </w:p>
        </w:tc>
        <w:tc>
          <w:tcPr>
            <w:tcW w:w="1077" w:type="pct"/>
            <w:tcBorders>
              <w:bottom w:val="single" w:color="auto" w:sz="4" w:space="0"/>
            </w:tcBorders>
            <w:vAlign w:val="center"/>
          </w:tcPr>
          <w:p w14:paraId="7B1ACDB8">
            <w:pPr>
              <w:shd w:val="clear"/>
              <w:spacing w:after="50" w:line="360" w:lineRule="auto"/>
              <w:ind w:right="-10"/>
              <w:jc w:val="center"/>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《联合协议》</w:t>
            </w:r>
            <w:r>
              <w:rPr>
                <w:rFonts w:hint="eastAsia" w:ascii="宋体" w:hAnsi="宋体" w:eastAsia="宋体"/>
                <w:color w:val="auto"/>
                <w:sz w:val="24"/>
                <w:highlight w:val="none"/>
              </w:rPr>
              <w:t>详见第六章响应文件格式。</w:t>
            </w:r>
          </w:p>
        </w:tc>
      </w:tr>
      <w:tr w14:paraId="06AC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3045DC68">
            <w:pPr>
              <w:shd w:val="clea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8</w:t>
            </w:r>
          </w:p>
        </w:tc>
        <w:tc>
          <w:tcPr>
            <w:tcW w:w="942" w:type="pct"/>
            <w:vAlign w:val="center"/>
          </w:tcPr>
          <w:p w14:paraId="2EB7B323">
            <w:pPr>
              <w:shd w:val="clear"/>
              <w:spacing w:after="50" w:line="360" w:lineRule="auto"/>
              <w:ind w:right="-10"/>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特定资格要求</w:t>
            </w:r>
          </w:p>
        </w:tc>
        <w:tc>
          <w:tcPr>
            <w:tcW w:w="2602" w:type="pct"/>
            <w:vAlign w:val="center"/>
          </w:tcPr>
          <w:p w14:paraId="311B08A8">
            <w:pPr>
              <w:shd w:val="clear"/>
              <w:spacing w:after="50" w:line="360" w:lineRule="auto"/>
              <w:ind w:right="-10"/>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如有，见第一章《</w:t>
            </w:r>
            <w:r>
              <w:rPr>
                <w:rFonts w:hint="eastAsia" w:ascii="宋体" w:hAnsi="宋体" w:eastAsia="宋体" w:cs="宋体"/>
                <w:color w:val="auto"/>
                <w:spacing w:val="10"/>
                <w:sz w:val="24"/>
                <w:szCs w:val="24"/>
                <w:highlight w:val="none"/>
              </w:rPr>
              <w:t>竞争性磋商公告</w:t>
            </w:r>
            <w:r>
              <w:rPr>
                <w:rFonts w:ascii="宋体" w:hAnsi="宋体" w:eastAsia="宋体" w:cs="宋体"/>
                <w:color w:val="auto"/>
                <w:spacing w:val="10"/>
                <w:sz w:val="24"/>
                <w:szCs w:val="24"/>
                <w:highlight w:val="none"/>
              </w:rPr>
              <w:t>》</w:t>
            </w:r>
          </w:p>
        </w:tc>
        <w:tc>
          <w:tcPr>
            <w:tcW w:w="1077" w:type="pct"/>
            <w:vAlign w:val="center"/>
          </w:tcPr>
          <w:p w14:paraId="6FD9AE8B">
            <w:pPr>
              <w:shd w:val="clear"/>
              <w:spacing w:after="50" w:line="360" w:lineRule="auto"/>
              <w:ind w:right="-10"/>
              <w:jc w:val="center"/>
              <w:rPr>
                <w:rFonts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rPr>
              <w:t>提供材料扫描件或电子证照，应完整的体现出材料或电子证照全部内容。</w:t>
            </w:r>
          </w:p>
        </w:tc>
      </w:tr>
      <w:tr w14:paraId="3235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01152084">
            <w:pPr>
              <w:shd w:val="clea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942" w:type="pct"/>
            <w:vAlign w:val="center"/>
          </w:tcPr>
          <w:p w14:paraId="6C9B2E29">
            <w:pPr>
              <w:shd w:val="clea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磋商响应函</w:t>
            </w:r>
          </w:p>
        </w:tc>
        <w:tc>
          <w:tcPr>
            <w:tcW w:w="2602" w:type="pct"/>
            <w:vAlign w:val="center"/>
          </w:tcPr>
          <w:p w14:paraId="1BFAC359">
            <w:pPr>
              <w:shd w:val="clea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格式、填写要求符合磋商文件规定并加盖供应商公章</w:t>
            </w:r>
          </w:p>
        </w:tc>
        <w:tc>
          <w:tcPr>
            <w:tcW w:w="1077" w:type="pct"/>
            <w:vAlign w:val="center"/>
          </w:tcPr>
          <w:p w14:paraId="5B75AE7B">
            <w:pPr>
              <w:shd w:val="clea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3D3E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225F94EA">
            <w:pPr>
              <w:shd w:val="clear"/>
              <w:adjustRightInd w:val="0"/>
              <w:snapToGrid w:val="0"/>
              <w:spacing w:line="360" w:lineRule="auto"/>
              <w:ind w:right="-10"/>
              <w:jc w:val="center"/>
              <w:rPr>
                <w:rFonts w:ascii="宋体" w:hAnsi="宋体" w:eastAsia="宋体"/>
                <w:color w:val="auto"/>
                <w:sz w:val="24"/>
                <w:highlight w:val="none"/>
              </w:rPr>
            </w:pPr>
            <w:r>
              <w:rPr>
                <w:rFonts w:hint="eastAsia" w:asciiTheme="minorEastAsia" w:hAnsiTheme="minorEastAsia" w:eastAsiaTheme="minorEastAsia"/>
                <w:color w:val="auto"/>
                <w:sz w:val="24"/>
                <w:highlight w:val="none"/>
              </w:rPr>
              <w:t>10</w:t>
            </w:r>
          </w:p>
        </w:tc>
        <w:tc>
          <w:tcPr>
            <w:tcW w:w="942" w:type="pct"/>
            <w:vAlign w:val="center"/>
          </w:tcPr>
          <w:p w14:paraId="1087F51A">
            <w:pPr>
              <w:shd w:val="clear"/>
              <w:spacing w:after="50" w:line="360" w:lineRule="auto"/>
              <w:ind w:right="-10"/>
              <w:jc w:val="center"/>
              <w:rPr>
                <w:rFonts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授权书</w:t>
            </w:r>
          </w:p>
        </w:tc>
        <w:tc>
          <w:tcPr>
            <w:tcW w:w="2602" w:type="pct"/>
            <w:vAlign w:val="center"/>
          </w:tcPr>
          <w:p w14:paraId="57701DBB">
            <w:pPr>
              <w:shd w:val="clear"/>
              <w:spacing w:after="50" w:line="360" w:lineRule="auto"/>
              <w:ind w:right="-10"/>
              <w:jc w:val="center"/>
              <w:rPr>
                <w:rFonts w:ascii="宋体" w:hAnsi="宋体" w:cs="宋体" w:eastAsiaTheme="minorEastAsia"/>
                <w:color w:val="auto"/>
                <w:spacing w:val="10"/>
                <w:sz w:val="24"/>
                <w:szCs w:val="24"/>
                <w:highlight w:val="none"/>
              </w:rPr>
            </w:pPr>
            <w:r>
              <w:rPr>
                <w:rFonts w:hint="eastAsia" w:asciiTheme="minorEastAsia" w:hAnsiTheme="minorEastAsia" w:eastAsiaTheme="minorEastAsia"/>
                <w:color w:val="auto"/>
                <w:sz w:val="24"/>
                <w:szCs w:val="28"/>
                <w:highlight w:val="none"/>
              </w:rPr>
              <w:t>格式、填写要求符合</w:t>
            </w:r>
            <w:r>
              <w:rPr>
                <w:rFonts w:hint="eastAsia" w:ascii="宋体" w:hAnsi="宋体" w:eastAsia="宋体" w:cs="宋体"/>
                <w:color w:val="auto"/>
                <w:spacing w:val="10"/>
                <w:sz w:val="24"/>
                <w:szCs w:val="24"/>
                <w:highlight w:val="none"/>
              </w:rPr>
              <w:t>磋商</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szCs w:val="28"/>
                <w:highlight w:val="none"/>
              </w:rPr>
              <w:t>公章</w:t>
            </w:r>
          </w:p>
        </w:tc>
        <w:tc>
          <w:tcPr>
            <w:tcW w:w="1077" w:type="pct"/>
            <w:vAlign w:val="center"/>
          </w:tcPr>
          <w:p w14:paraId="41C45701">
            <w:pPr>
              <w:shd w:val="clear"/>
              <w:adjustRightInd w:val="0"/>
              <w:snapToGrid w:val="0"/>
              <w:spacing w:line="360" w:lineRule="auto"/>
              <w:ind w:right="-10"/>
              <w:jc w:val="center"/>
              <w:rPr>
                <w:rFonts w:ascii="宋体" w:hAnsi="宋体" w:eastAsia="宋体" w:cs="宋体"/>
                <w:color w:val="auto"/>
                <w:sz w:val="24"/>
                <w:szCs w:val="24"/>
                <w:highlight w:val="none"/>
              </w:rPr>
            </w:pPr>
            <w:r>
              <w:rPr>
                <w:rFonts w:hint="eastAsia" w:asciiTheme="minorEastAsia" w:hAnsiTheme="minorEastAsia" w:eastAsiaTheme="minorEastAsia"/>
                <w:color w:val="auto"/>
                <w:sz w:val="24"/>
                <w:highlight w:val="none"/>
              </w:rPr>
              <w:t>法定代表人参加磋商的无需此件，提供身份证明即可。详见第六章响应文件格式。</w:t>
            </w:r>
          </w:p>
        </w:tc>
      </w:tr>
      <w:tr w14:paraId="40C9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7EFB2E9A">
            <w:pPr>
              <w:shd w:val="clear"/>
              <w:adjustRightInd w:val="0"/>
              <w:snapToGrid w:val="0"/>
              <w:spacing w:line="360" w:lineRule="auto"/>
              <w:ind w:right="-10"/>
              <w:jc w:val="center"/>
              <w:rPr>
                <w:rFonts w:ascii="宋体" w:hAnsi="宋体" w:eastAsia="宋体"/>
                <w:color w:val="auto"/>
                <w:sz w:val="24"/>
                <w:highlight w:val="none"/>
              </w:rPr>
            </w:pPr>
            <w:r>
              <w:rPr>
                <w:rFonts w:hint="eastAsia" w:asciiTheme="minorEastAsia" w:hAnsiTheme="minorEastAsia" w:eastAsiaTheme="minorEastAsia"/>
                <w:color w:val="auto"/>
                <w:sz w:val="24"/>
                <w:highlight w:val="none"/>
              </w:rPr>
              <w:t>11</w:t>
            </w:r>
          </w:p>
        </w:tc>
        <w:tc>
          <w:tcPr>
            <w:tcW w:w="942" w:type="pct"/>
            <w:vAlign w:val="center"/>
          </w:tcPr>
          <w:p w14:paraId="3DFAF199">
            <w:pPr>
              <w:shd w:val="clear"/>
              <w:spacing w:after="50" w:line="360" w:lineRule="auto"/>
              <w:ind w:right="-10"/>
              <w:jc w:val="center"/>
              <w:rPr>
                <w:rFonts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磋商报价</w:t>
            </w:r>
          </w:p>
        </w:tc>
        <w:tc>
          <w:tcPr>
            <w:tcW w:w="2602" w:type="pct"/>
            <w:vAlign w:val="center"/>
          </w:tcPr>
          <w:p w14:paraId="7A719B6D">
            <w:pPr>
              <w:shd w:val="clear"/>
              <w:spacing w:after="50" w:line="360" w:lineRule="auto"/>
              <w:ind w:right="-10"/>
              <w:jc w:val="center"/>
              <w:rPr>
                <w:rFonts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符合</w:t>
            </w:r>
            <w:r>
              <w:rPr>
                <w:rFonts w:hint="eastAsia" w:ascii="宋体" w:hAnsi="宋体" w:eastAsia="宋体" w:cs="宋体"/>
                <w:color w:val="auto"/>
                <w:spacing w:val="10"/>
                <w:sz w:val="24"/>
                <w:szCs w:val="24"/>
                <w:highlight w:val="none"/>
              </w:rPr>
              <w:t>磋商</w:t>
            </w:r>
            <w:r>
              <w:rPr>
                <w:rFonts w:hint="eastAsia" w:asciiTheme="minorEastAsia" w:hAnsiTheme="minorEastAsia" w:eastAsiaTheme="minorEastAsia"/>
                <w:color w:val="auto"/>
                <w:sz w:val="24"/>
                <w:highlight w:val="none"/>
              </w:rPr>
              <w:t>文件供应商须知正文第9条及采购需求的要求</w:t>
            </w:r>
          </w:p>
        </w:tc>
        <w:tc>
          <w:tcPr>
            <w:tcW w:w="1077" w:type="pct"/>
            <w:vAlign w:val="center"/>
          </w:tcPr>
          <w:p w14:paraId="739815E2">
            <w:pPr>
              <w:shd w:val="clear"/>
              <w:adjustRightInd w:val="0"/>
              <w:snapToGrid w:val="0"/>
              <w:spacing w:line="360" w:lineRule="auto"/>
              <w:ind w:right="-10"/>
              <w:jc w:val="center"/>
              <w:rPr>
                <w:rFonts w:ascii="宋体" w:hAnsi="宋体" w:eastAsia="宋体" w:cs="宋体"/>
                <w:color w:val="auto"/>
                <w:sz w:val="24"/>
                <w:szCs w:val="24"/>
                <w:highlight w:val="none"/>
              </w:rPr>
            </w:pPr>
            <w:r>
              <w:rPr>
                <w:rFonts w:hint="eastAsia" w:asciiTheme="minorEastAsia" w:hAnsiTheme="minorEastAsia" w:eastAsiaTheme="minorEastAsia"/>
                <w:color w:val="auto"/>
                <w:sz w:val="24"/>
                <w:highlight w:val="none"/>
              </w:rPr>
              <w:t>详见第六章响应文件格式。</w:t>
            </w:r>
          </w:p>
        </w:tc>
      </w:tr>
      <w:tr w14:paraId="3C52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6DDAF91C">
            <w:pPr>
              <w:shd w:val="clear"/>
              <w:adjustRightInd w:val="0"/>
              <w:snapToGrid w:val="0"/>
              <w:spacing w:line="360" w:lineRule="auto"/>
              <w:ind w:right="-10"/>
              <w:jc w:val="center"/>
              <w:rPr>
                <w:rFonts w:ascii="宋体" w:hAnsi="宋体" w:eastAsia="宋体"/>
                <w:color w:val="auto"/>
                <w:sz w:val="24"/>
                <w:highlight w:val="none"/>
              </w:rPr>
            </w:pPr>
            <w:r>
              <w:rPr>
                <w:rFonts w:hint="eastAsia" w:asciiTheme="minorEastAsia" w:hAnsiTheme="minorEastAsia" w:eastAsiaTheme="minorEastAsia"/>
                <w:color w:val="auto"/>
                <w:sz w:val="24"/>
                <w:highlight w:val="none"/>
              </w:rPr>
              <w:t>12</w:t>
            </w:r>
          </w:p>
        </w:tc>
        <w:tc>
          <w:tcPr>
            <w:tcW w:w="942" w:type="pct"/>
            <w:vAlign w:val="center"/>
          </w:tcPr>
          <w:p w14:paraId="0EEE6A2A">
            <w:pPr>
              <w:shd w:val="clear"/>
              <w:spacing w:after="50" w:line="360" w:lineRule="auto"/>
              <w:ind w:right="-10"/>
              <w:jc w:val="center"/>
              <w:rPr>
                <w:rFonts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商务响应情况</w:t>
            </w:r>
          </w:p>
        </w:tc>
        <w:tc>
          <w:tcPr>
            <w:tcW w:w="2602" w:type="pct"/>
            <w:vAlign w:val="center"/>
          </w:tcPr>
          <w:p w14:paraId="6D1D406C">
            <w:pPr>
              <w:shd w:val="clear"/>
              <w:spacing w:after="50" w:line="360" w:lineRule="auto"/>
              <w:ind w:right="-10"/>
              <w:jc w:val="center"/>
              <w:rPr>
                <w:rFonts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符合</w:t>
            </w:r>
            <w:r>
              <w:rPr>
                <w:rFonts w:hint="eastAsia" w:ascii="宋体" w:hAnsi="宋体" w:eastAsia="宋体" w:cs="宋体"/>
                <w:color w:val="auto"/>
                <w:spacing w:val="10"/>
                <w:sz w:val="24"/>
                <w:szCs w:val="24"/>
                <w:highlight w:val="none"/>
              </w:rPr>
              <w:t>磋商</w:t>
            </w:r>
            <w:r>
              <w:rPr>
                <w:rFonts w:hint="eastAsia" w:asciiTheme="minorEastAsia" w:hAnsiTheme="minorEastAsia" w:eastAsiaTheme="minorEastAsia"/>
                <w:color w:val="auto"/>
                <w:sz w:val="24"/>
                <w:szCs w:val="28"/>
                <w:highlight w:val="none"/>
              </w:rPr>
              <w:t>文件采购需求中对付款方式、服务地点、服务期限、质量标准等实质性要求</w:t>
            </w:r>
          </w:p>
        </w:tc>
        <w:tc>
          <w:tcPr>
            <w:tcW w:w="1077" w:type="pct"/>
            <w:vAlign w:val="center"/>
          </w:tcPr>
          <w:p w14:paraId="3F140124">
            <w:pPr>
              <w:shd w:val="clear"/>
              <w:adjustRightInd w:val="0"/>
              <w:snapToGrid w:val="0"/>
              <w:spacing w:line="360" w:lineRule="auto"/>
              <w:ind w:right="-10"/>
              <w:jc w:val="center"/>
              <w:rPr>
                <w:rFonts w:ascii="宋体" w:hAnsi="宋体" w:eastAsia="宋体" w:cs="宋体"/>
                <w:color w:val="auto"/>
                <w:sz w:val="24"/>
                <w:szCs w:val="24"/>
                <w:highlight w:val="none"/>
              </w:rPr>
            </w:pPr>
            <w:r>
              <w:rPr>
                <w:rFonts w:hint="eastAsia" w:asciiTheme="minorEastAsia" w:hAnsiTheme="minorEastAsia" w:eastAsiaTheme="minorEastAsia"/>
                <w:color w:val="auto"/>
                <w:sz w:val="24"/>
                <w:highlight w:val="none"/>
              </w:rPr>
              <w:t>详见第六章响应文件格式。</w:t>
            </w:r>
          </w:p>
        </w:tc>
      </w:tr>
      <w:tr w14:paraId="7A82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44DEA5E9">
            <w:pPr>
              <w:shd w:val="clea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942" w:type="pct"/>
            <w:vAlign w:val="center"/>
          </w:tcPr>
          <w:p w14:paraId="6179C718">
            <w:pPr>
              <w:shd w:val="clea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人员配备</w:t>
            </w:r>
          </w:p>
        </w:tc>
        <w:tc>
          <w:tcPr>
            <w:tcW w:w="2602" w:type="pct"/>
            <w:vAlign w:val="center"/>
          </w:tcPr>
          <w:p w14:paraId="1A9A06EF">
            <w:pPr>
              <w:shd w:val="clea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符合第三章采购需求中拟派项目驻场团队人员配置要求，提供学历证明及履历经验的业绩证明等资料</w:t>
            </w:r>
          </w:p>
        </w:tc>
        <w:tc>
          <w:tcPr>
            <w:tcW w:w="1077" w:type="pct"/>
            <w:vAlign w:val="center"/>
          </w:tcPr>
          <w:p w14:paraId="2E9445F7">
            <w:pPr>
              <w:shd w:val="clea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详见第六章响应文件格式。</w:t>
            </w:r>
          </w:p>
        </w:tc>
      </w:tr>
      <w:tr w14:paraId="712E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77DC72C8">
            <w:pPr>
              <w:shd w:val="clear"/>
              <w:adjustRightInd w:val="0"/>
              <w:snapToGrid w:val="0"/>
              <w:spacing w:line="360" w:lineRule="auto"/>
              <w:ind w:right="-10"/>
              <w:jc w:val="center"/>
              <w:rPr>
                <w:rFonts w:ascii="宋体" w:hAnsi="宋体" w:eastAsia="宋体"/>
                <w:color w:val="auto"/>
                <w:sz w:val="24"/>
                <w:highlight w:val="none"/>
              </w:rPr>
            </w:pPr>
            <w:r>
              <w:rPr>
                <w:rFonts w:hint="eastAsia" w:asciiTheme="minorEastAsia" w:hAnsiTheme="minorEastAsia" w:eastAsiaTheme="minorEastAsia"/>
                <w:color w:val="auto"/>
                <w:sz w:val="24"/>
                <w:highlight w:val="none"/>
              </w:rPr>
              <w:t>14</w:t>
            </w:r>
          </w:p>
        </w:tc>
        <w:tc>
          <w:tcPr>
            <w:tcW w:w="942" w:type="pct"/>
            <w:vAlign w:val="center"/>
          </w:tcPr>
          <w:p w14:paraId="58D129FA">
            <w:pPr>
              <w:shd w:val="clear"/>
              <w:spacing w:after="50" w:line="360" w:lineRule="auto"/>
              <w:ind w:right="-10"/>
              <w:jc w:val="center"/>
              <w:rPr>
                <w:rFonts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其他要求</w:t>
            </w:r>
          </w:p>
        </w:tc>
        <w:tc>
          <w:tcPr>
            <w:tcW w:w="2602" w:type="pct"/>
            <w:vAlign w:val="center"/>
          </w:tcPr>
          <w:p w14:paraId="218BC82C">
            <w:pPr>
              <w:shd w:val="clear"/>
              <w:spacing w:after="50" w:line="360" w:lineRule="auto"/>
              <w:ind w:right="-10"/>
              <w:jc w:val="center"/>
              <w:rPr>
                <w:rFonts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符合法律、行政法规规定的其他条件或磋商文件列明的其他实质性要求</w:t>
            </w:r>
          </w:p>
        </w:tc>
        <w:tc>
          <w:tcPr>
            <w:tcW w:w="1077" w:type="pct"/>
            <w:vAlign w:val="center"/>
          </w:tcPr>
          <w:p w14:paraId="118FA544">
            <w:pPr>
              <w:shd w:val="clear"/>
              <w:adjustRightInd w:val="0"/>
              <w:snapToGrid w:val="0"/>
              <w:spacing w:line="360" w:lineRule="auto"/>
              <w:ind w:right="-10"/>
              <w:jc w:val="center"/>
              <w:rPr>
                <w:rFonts w:ascii="宋体" w:hAnsi="宋体" w:eastAsia="宋体" w:cs="宋体"/>
                <w:color w:val="auto"/>
                <w:sz w:val="24"/>
                <w:szCs w:val="24"/>
                <w:highlight w:val="none"/>
              </w:rPr>
            </w:pPr>
          </w:p>
        </w:tc>
      </w:tr>
    </w:tbl>
    <w:p w14:paraId="7F3FACF3">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6274B261">
      <w:pPr>
        <w:shd w:val="clea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2.2综合评分</w:t>
      </w:r>
    </w:p>
    <w:p w14:paraId="468C36BA">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磋商小组按照下表对</w:t>
      </w:r>
      <w:r>
        <w:rPr>
          <w:rFonts w:hint="eastAsia" w:ascii="宋体" w:hAnsi="宋体" w:eastAsia="宋体"/>
          <w:color w:val="auto"/>
          <w:sz w:val="24"/>
          <w:highlight w:val="none"/>
        </w:rPr>
        <w:t>进入综合评分的所有供应商的</w:t>
      </w:r>
      <w:r>
        <w:rPr>
          <w:rFonts w:hint="eastAsia" w:asciiTheme="minorEastAsia" w:hAnsiTheme="minorEastAsia" w:eastAsiaTheme="minorEastAsia"/>
          <w:color w:val="auto"/>
          <w:sz w:val="24"/>
          <w:highlight w:val="none"/>
        </w:rPr>
        <w:t>响应文件进行综合评分。</w:t>
      </w:r>
    </w:p>
    <w:p w14:paraId="3E7D3A33">
      <w:pPr>
        <w:shd w:val="clear"/>
        <w:spacing w:line="360" w:lineRule="auto"/>
        <w:ind w:firstLine="435"/>
        <w:rPr>
          <w:color w:val="auto"/>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hint="eastAsia" w:asciiTheme="minorEastAsia" w:hAnsiTheme="minorEastAsia" w:eastAsiaTheme="minorEastAsia"/>
          <w:color w:val="auto"/>
          <w:sz w:val="24"/>
          <w:highlight w:val="none"/>
          <w:u w:val="single"/>
        </w:rPr>
        <w:t>90</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rPr>
        <w:t>10</w:t>
      </w:r>
      <w:r>
        <w:rPr>
          <w:rFonts w:asciiTheme="minorEastAsia" w:hAnsiTheme="minorEastAsia" w:eastAsiaTheme="minorEastAsia"/>
          <w:color w:val="auto"/>
          <w:sz w:val="24"/>
          <w:highlight w:val="none"/>
        </w:rPr>
        <w:t>%。具体评分细则如下：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1602"/>
        <w:gridCol w:w="5423"/>
        <w:gridCol w:w="1361"/>
      </w:tblGrid>
      <w:tr w14:paraId="2CCA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4" w:type="pct"/>
            <w:tcBorders>
              <w:top w:val="single" w:color="auto" w:sz="4" w:space="0"/>
              <w:left w:val="single" w:color="auto" w:sz="4" w:space="0"/>
              <w:bottom w:val="single" w:color="auto" w:sz="4" w:space="0"/>
              <w:right w:val="single" w:color="auto" w:sz="4" w:space="0"/>
            </w:tcBorders>
            <w:vAlign w:val="center"/>
          </w:tcPr>
          <w:p w14:paraId="3C40208E">
            <w:pPr>
              <w:shd w:val="clea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类别</w:t>
            </w:r>
          </w:p>
        </w:tc>
        <w:tc>
          <w:tcPr>
            <w:tcW w:w="790" w:type="pct"/>
            <w:tcBorders>
              <w:top w:val="single" w:color="auto" w:sz="4" w:space="0"/>
              <w:left w:val="single" w:color="auto" w:sz="4" w:space="0"/>
              <w:bottom w:val="single" w:color="auto" w:sz="4" w:space="0"/>
              <w:right w:val="single" w:color="auto" w:sz="4" w:space="0"/>
            </w:tcBorders>
            <w:vAlign w:val="center"/>
          </w:tcPr>
          <w:p w14:paraId="56C48666">
            <w:pPr>
              <w:shd w:val="clea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评分内容</w:t>
            </w:r>
          </w:p>
        </w:tc>
        <w:tc>
          <w:tcPr>
            <w:tcW w:w="2674" w:type="pct"/>
            <w:tcBorders>
              <w:top w:val="single" w:color="auto" w:sz="4" w:space="0"/>
              <w:left w:val="single" w:color="auto" w:sz="4" w:space="0"/>
              <w:bottom w:val="single" w:color="auto" w:sz="4" w:space="0"/>
              <w:right w:val="single" w:color="auto" w:sz="4" w:space="0"/>
            </w:tcBorders>
            <w:vAlign w:val="center"/>
          </w:tcPr>
          <w:p w14:paraId="4885215F">
            <w:pPr>
              <w:shd w:val="clea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评分标准</w:t>
            </w:r>
          </w:p>
        </w:tc>
        <w:tc>
          <w:tcPr>
            <w:tcW w:w="670" w:type="pct"/>
            <w:tcBorders>
              <w:top w:val="single" w:color="auto" w:sz="4" w:space="0"/>
              <w:left w:val="single" w:color="auto" w:sz="4" w:space="0"/>
              <w:bottom w:val="single" w:color="auto" w:sz="4" w:space="0"/>
              <w:right w:val="single" w:color="auto" w:sz="4" w:space="0"/>
            </w:tcBorders>
            <w:vAlign w:val="center"/>
          </w:tcPr>
          <w:p w14:paraId="7352EBF3">
            <w:pPr>
              <w:shd w:val="clea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分值范围</w:t>
            </w:r>
          </w:p>
        </w:tc>
      </w:tr>
      <w:tr w14:paraId="386F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restart"/>
            <w:tcBorders>
              <w:top w:val="single" w:color="auto" w:sz="4" w:space="0"/>
              <w:left w:val="single" w:color="auto" w:sz="4" w:space="0"/>
              <w:right w:val="single" w:color="auto" w:sz="4" w:space="0"/>
            </w:tcBorders>
            <w:vAlign w:val="center"/>
          </w:tcPr>
          <w:p w14:paraId="61729BBD">
            <w:pPr>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技术资信分</w:t>
            </w:r>
          </w:p>
          <w:p w14:paraId="554D6E37">
            <w:pPr>
              <w:shd w:val="clea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90</w:t>
            </w:r>
            <w:r>
              <w:rPr>
                <w:rFonts w:hint="eastAsia" w:asciiTheme="minorEastAsia" w:hAnsiTheme="minorEastAsia" w:eastAsiaTheme="minorEastAsia"/>
                <w:color w:val="auto"/>
                <w:sz w:val="24"/>
                <w:highlight w:val="none"/>
              </w:rPr>
              <w:t>分）</w:t>
            </w:r>
          </w:p>
        </w:tc>
        <w:tc>
          <w:tcPr>
            <w:tcW w:w="790" w:type="pct"/>
            <w:tcBorders>
              <w:top w:val="single" w:color="auto" w:sz="4" w:space="0"/>
              <w:left w:val="single" w:color="auto" w:sz="4" w:space="0"/>
              <w:bottom w:val="single" w:color="auto" w:sz="4" w:space="0"/>
              <w:right w:val="single" w:color="auto" w:sz="4" w:space="0"/>
            </w:tcBorders>
            <w:vAlign w:val="center"/>
          </w:tcPr>
          <w:p w14:paraId="06F8FE47">
            <w:pPr>
              <w:shd w:val="clear"/>
              <w:spacing w:line="360" w:lineRule="auto"/>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综合实力</w:t>
            </w:r>
          </w:p>
        </w:tc>
        <w:tc>
          <w:tcPr>
            <w:tcW w:w="2674" w:type="pct"/>
            <w:tcBorders>
              <w:top w:val="single" w:color="auto" w:sz="4" w:space="0"/>
              <w:left w:val="single" w:color="auto" w:sz="4" w:space="0"/>
              <w:bottom w:val="single" w:color="auto" w:sz="4" w:space="0"/>
              <w:right w:val="single" w:color="auto" w:sz="4" w:space="0"/>
            </w:tcBorders>
            <w:vAlign w:val="center"/>
          </w:tcPr>
          <w:p w14:paraId="550544EE">
            <w:pPr>
              <w:shd w:val="clear"/>
              <w:spacing w:line="360" w:lineRule="auto"/>
              <w:jc w:val="left"/>
              <w:rPr>
                <w:rFonts w:asciiTheme="minorEastAsia" w:hAnsiTheme="minorEastAsia" w:eastAsiaTheme="minorEastAsia"/>
                <w:b/>
                <w:bCs w:val="0"/>
                <w:color w:val="auto"/>
                <w:sz w:val="24"/>
                <w:highlight w:val="none"/>
              </w:rPr>
            </w:pPr>
            <w:r>
              <w:rPr>
                <w:rFonts w:hint="eastAsia" w:asciiTheme="minorEastAsia" w:hAnsiTheme="minorEastAsia" w:eastAsiaTheme="minorEastAsia"/>
                <w:b/>
                <w:bCs w:val="0"/>
                <w:color w:val="auto"/>
                <w:sz w:val="24"/>
                <w:highlight w:val="none"/>
              </w:rPr>
              <w:t>1、类似业绩：（此项满分20分）</w:t>
            </w:r>
          </w:p>
          <w:p w14:paraId="5ADFF64E">
            <w:pPr>
              <w:shd w:val="clear"/>
              <w:spacing w:line="360" w:lineRule="auto"/>
              <w:jc w:val="left"/>
              <w:rPr>
                <w:rFonts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2022年1月1日至今供应商</w:t>
            </w:r>
            <w:r>
              <w:rPr>
                <w:rFonts w:hint="eastAsia" w:asciiTheme="minorEastAsia" w:hAnsiTheme="minorEastAsia" w:eastAsiaTheme="minorEastAsia"/>
                <w:b w:val="0"/>
                <w:bCs/>
                <w:color w:val="auto"/>
                <w:sz w:val="24"/>
                <w:highlight w:val="none"/>
              </w:rPr>
              <w:t>承担</w:t>
            </w:r>
            <w:r>
              <w:rPr>
                <w:rFonts w:hint="eastAsia" w:asciiTheme="minorEastAsia" w:hAnsiTheme="minorEastAsia" w:eastAsiaTheme="minorEastAsia"/>
                <w:b w:val="0"/>
                <w:bCs/>
                <w:color w:val="auto"/>
                <w:sz w:val="24"/>
                <w:highlight w:val="none"/>
              </w:rPr>
              <w:t>房地产开发项目：</w:t>
            </w:r>
          </w:p>
          <w:p w14:paraId="46F22A50">
            <w:pPr>
              <w:numPr>
                <w:ilvl w:val="0"/>
                <w:numId w:val="0"/>
              </w:numPr>
              <w:shd w:val="clear"/>
              <w:spacing w:line="360" w:lineRule="auto"/>
              <w:jc w:val="left"/>
              <w:rPr>
                <w:rFonts w:hint="eastAsia" w:asciiTheme="minorEastAsia" w:hAnsiTheme="minorEastAsia" w:eastAsiaTheme="minorEastAsia"/>
                <w:b w:val="0"/>
                <w:bCs/>
                <w:color w:val="auto"/>
                <w:sz w:val="24"/>
                <w:highlight w:val="none"/>
              </w:rPr>
            </w:pPr>
            <w:r>
              <w:rPr>
                <w:rFonts w:hint="eastAsia" w:cs="@仿宋_GB2312" w:asciiTheme="minorEastAsia" w:hAnsiTheme="minorEastAsia" w:eastAsiaTheme="minorEastAsia"/>
                <w:b w:val="0"/>
                <w:bCs/>
                <w:color w:val="auto"/>
                <w:kern w:val="2"/>
                <w:sz w:val="24"/>
                <w:highlight w:val="none"/>
                <w:lang w:val="en-US" w:eastAsia="zh-CN" w:bidi="ar-SA"/>
              </w:rPr>
              <w:t>（1）</w:t>
            </w:r>
            <w:r>
              <w:rPr>
                <w:rFonts w:hint="eastAsia" w:asciiTheme="minorEastAsia" w:hAnsiTheme="minorEastAsia" w:eastAsiaTheme="minorEastAsia"/>
                <w:b w:val="0"/>
                <w:bCs/>
                <w:color w:val="auto"/>
                <w:sz w:val="24"/>
                <w:highlight w:val="none"/>
              </w:rPr>
              <w:t>每承担1个单个房地产开发项目总建筑面积在10万m2（含）-</w:t>
            </w:r>
            <w:r>
              <w:rPr>
                <w:rFonts w:hint="eastAsia" w:asciiTheme="minorEastAsia" w:hAnsiTheme="minorEastAsia" w:eastAsiaTheme="minorEastAsia"/>
                <w:b w:val="0"/>
                <w:bCs/>
                <w:color w:val="auto"/>
                <w:sz w:val="24"/>
                <w:highlight w:val="none"/>
                <w:lang w:val="en-US" w:eastAsia="zh-CN"/>
              </w:rPr>
              <w:t>15</w:t>
            </w:r>
            <w:r>
              <w:rPr>
                <w:rFonts w:hint="eastAsia" w:asciiTheme="minorEastAsia" w:hAnsiTheme="minorEastAsia" w:eastAsiaTheme="minorEastAsia"/>
                <w:b w:val="0"/>
                <w:bCs/>
                <w:color w:val="auto"/>
                <w:sz w:val="24"/>
                <w:highlight w:val="none"/>
              </w:rPr>
              <w:t>万㎡（不含）全过程造价咨询业绩</w:t>
            </w:r>
            <w:r>
              <w:rPr>
                <w:rFonts w:hint="eastAsia" w:asciiTheme="minorEastAsia" w:hAnsiTheme="minorEastAsia" w:eastAsiaTheme="minorEastAsia"/>
                <w:b w:val="0"/>
                <w:bCs/>
                <w:color w:val="auto"/>
                <w:sz w:val="24"/>
                <w:highlight w:val="none"/>
                <w:lang w:eastAsia="zh-CN"/>
              </w:rPr>
              <w:t>，</w:t>
            </w:r>
            <w:r>
              <w:rPr>
                <w:rFonts w:hint="eastAsia" w:asciiTheme="minorEastAsia" w:hAnsiTheme="minorEastAsia" w:eastAsiaTheme="minorEastAsia"/>
                <w:b w:val="0"/>
                <w:bCs/>
                <w:color w:val="auto"/>
                <w:sz w:val="24"/>
                <w:highlight w:val="none"/>
              </w:rPr>
              <w:t>得</w:t>
            </w:r>
            <w:r>
              <w:rPr>
                <w:rFonts w:hint="eastAsia" w:asciiTheme="minorEastAsia" w:hAnsiTheme="minorEastAsia" w:eastAsiaTheme="minorEastAsia"/>
                <w:b w:val="0"/>
                <w:bCs/>
                <w:color w:val="auto"/>
                <w:sz w:val="24"/>
                <w:highlight w:val="none"/>
                <w:lang w:val="en-US" w:eastAsia="zh-CN"/>
              </w:rPr>
              <w:t>3</w:t>
            </w:r>
            <w:r>
              <w:rPr>
                <w:rFonts w:hint="eastAsia" w:asciiTheme="minorEastAsia" w:hAnsiTheme="minorEastAsia" w:eastAsiaTheme="minorEastAsia"/>
                <w:b w:val="0"/>
                <w:bCs/>
                <w:color w:val="auto"/>
                <w:sz w:val="24"/>
                <w:highlight w:val="none"/>
              </w:rPr>
              <w:t>分；</w:t>
            </w:r>
          </w:p>
          <w:p w14:paraId="2FC95FCF">
            <w:pPr>
              <w:numPr>
                <w:ilvl w:val="0"/>
                <w:numId w:val="0"/>
              </w:numPr>
              <w:shd w:val="clear"/>
              <w:spacing w:line="360" w:lineRule="auto"/>
              <w:jc w:val="left"/>
              <w:rPr>
                <w:rFonts w:hint="eastAsia" w:eastAsiaTheme="minorEastAsia"/>
                <w:b w:val="0"/>
                <w:bCs/>
                <w:color w:val="auto"/>
                <w:highlight w:val="none"/>
                <w:lang w:val="en-US" w:eastAsia="zh-CN"/>
              </w:rPr>
            </w:pPr>
            <w:r>
              <w:rPr>
                <w:rFonts w:hint="eastAsia" w:cs="@仿宋_GB2312" w:asciiTheme="minorEastAsia" w:hAnsiTheme="minorEastAsia" w:eastAsiaTheme="minorEastAsia"/>
                <w:b w:val="0"/>
                <w:bCs/>
                <w:color w:val="auto"/>
                <w:kern w:val="2"/>
                <w:sz w:val="24"/>
                <w:highlight w:val="none"/>
                <w:lang w:val="en-US" w:eastAsia="zh-CN" w:bidi="ar-SA"/>
              </w:rPr>
              <w:t>（2）</w:t>
            </w:r>
            <w:r>
              <w:rPr>
                <w:rFonts w:hint="eastAsia" w:asciiTheme="minorEastAsia" w:hAnsiTheme="minorEastAsia" w:eastAsiaTheme="minorEastAsia"/>
                <w:b w:val="0"/>
                <w:bCs/>
                <w:color w:val="auto"/>
                <w:sz w:val="24"/>
                <w:highlight w:val="none"/>
              </w:rPr>
              <w:t>每承担1个单个房地产开发项目总建筑面积在</w:t>
            </w:r>
            <w:r>
              <w:rPr>
                <w:rFonts w:hint="eastAsia" w:asciiTheme="minorEastAsia" w:hAnsiTheme="minorEastAsia" w:eastAsiaTheme="minorEastAsia"/>
                <w:b w:val="0"/>
                <w:bCs/>
                <w:color w:val="auto"/>
                <w:sz w:val="24"/>
                <w:highlight w:val="none"/>
                <w:lang w:val="en-US" w:eastAsia="zh-CN"/>
              </w:rPr>
              <w:t>15</w:t>
            </w:r>
            <w:r>
              <w:rPr>
                <w:rFonts w:hint="eastAsia" w:asciiTheme="minorEastAsia" w:hAnsiTheme="minorEastAsia" w:eastAsiaTheme="minorEastAsia"/>
                <w:b w:val="0"/>
                <w:bCs/>
                <w:color w:val="auto"/>
                <w:sz w:val="24"/>
                <w:highlight w:val="none"/>
              </w:rPr>
              <w:t>万㎡</w:t>
            </w:r>
            <w:r>
              <w:rPr>
                <w:rFonts w:hint="eastAsia" w:asciiTheme="minorEastAsia" w:hAnsiTheme="minorEastAsia" w:eastAsiaTheme="minorEastAsia"/>
                <w:b w:val="0"/>
                <w:bCs/>
                <w:color w:val="auto"/>
                <w:sz w:val="24"/>
                <w:highlight w:val="none"/>
                <w:lang w:val="en-US" w:eastAsia="zh-CN"/>
              </w:rPr>
              <w:t>及以上</w:t>
            </w:r>
            <w:r>
              <w:rPr>
                <w:rFonts w:hint="eastAsia" w:asciiTheme="minorEastAsia" w:hAnsiTheme="minorEastAsia" w:eastAsiaTheme="minorEastAsia"/>
                <w:b w:val="0"/>
                <w:bCs/>
                <w:color w:val="auto"/>
                <w:sz w:val="24"/>
                <w:highlight w:val="none"/>
              </w:rPr>
              <w:t>全过程造价咨询业绩</w:t>
            </w:r>
            <w:r>
              <w:rPr>
                <w:rFonts w:hint="eastAsia" w:asciiTheme="minorEastAsia" w:hAnsiTheme="minorEastAsia" w:eastAsiaTheme="minorEastAsia"/>
                <w:b w:val="0"/>
                <w:bCs/>
                <w:color w:val="auto"/>
                <w:sz w:val="24"/>
                <w:highlight w:val="none"/>
                <w:lang w:eastAsia="zh-CN"/>
              </w:rPr>
              <w:t>，</w:t>
            </w:r>
            <w:r>
              <w:rPr>
                <w:rFonts w:hint="eastAsia" w:asciiTheme="minorEastAsia" w:hAnsiTheme="minorEastAsia" w:eastAsiaTheme="minorEastAsia"/>
                <w:b w:val="0"/>
                <w:bCs/>
                <w:color w:val="auto"/>
                <w:sz w:val="24"/>
                <w:highlight w:val="none"/>
              </w:rPr>
              <w:t>得</w:t>
            </w:r>
            <w:r>
              <w:rPr>
                <w:rFonts w:hint="eastAsia" w:asciiTheme="minorEastAsia" w:hAnsiTheme="minorEastAsia" w:eastAsiaTheme="minorEastAsia"/>
                <w:b w:val="0"/>
                <w:bCs/>
                <w:color w:val="auto"/>
                <w:sz w:val="24"/>
                <w:highlight w:val="none"/>
                <w:lang w:val="en-US" w:eastAsia="zh-CN"/>
              </w:rPr>
              <w:t>5</w:t>
            </w:r>
            <w:r>
              <w:rPr>
                <w:rFonts w:hint="eastAsia" w:asciiTheme="minorEastAsia" w:hAnsiTheme="minorEastAsia" w:eastAsiaTheme="minorEastAsia"/>
                <w:b w:val="0"/>
                <w:bCs/>
                <w:color w:val="auto"/>
                <w:sz w:val="24"/>
                <w:highlight w:val="none"/>
              </w:rPr>
              <w:t>分</w:t>
            </w:r>
            <w:r>
              <w:rPr>
                <w:rFonts w:hint="eastAsia" w:asciiTheme="minorEastAsia" w:hAnsiTheme="minorEastAsia" w:eastAsiaTheme="minorEastAsia"/>
                <w:b w:val="0"/>
                <w:bCs/>
                <w:color w:val="auto"/>
                <w:sz w:val="24"/>
                <w:highlight w:val="none"/>
                <w:lang w:eastAsia="zh-CN"/>
              </w:rPr>
              <w:t>；</w:t>
            </w:r>
          </w:p>
          <w:p w14:paraId="59B85B46">
            <w:pPr>
              <w:shd w:val="clear"/>
              <w:spacing w:line="360" w:lineRule="auto"/>
              <w:jc w:val="left"/>
              <w:rPr>
                <w:rFonts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注：</w:t>
            </w:r>
          </w:p>
          <w:p w14:paraId="33972182">
            <w:pPr>
              <w:shd w:val="clear"/>
              <w:spacing w:line="360" w:lineRule="auto"/>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①须提供有效的合同或协议书（或委托证明）等证明文件的复印件加盖单位公章。（认定时间以合同签订时间为准）如不能体现时间、项目内容类别、项目投资性质、服务内容（包括但不限于方案测算、施工图测算、施工图预算核对、签证变更、市场询价、合同结算等）的，须由委托人出具加盖委托人公章的证明材料复印件；</w:t>
            </w:r>
          </w:p>
          <w:p w14:paraId="02C3D8BB">
            <w:pPr>
              <w:shd w:val="clear"/>
              <w:spacing w:line="360" w:lineRule="auto"/>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②同一项目不累计加分，以最高分计。</w:t>
            </w:r>
          </w:p>
          <w:p w14:paraId="2B8EE202">
            <w:pPr>
              <w:shd w:val="clear"/>
              <w:spacing w:line="360" w:lineRule="auto"/>
              <w:jc w:val="left"/>
              <w:rPr>
                <w:rFonts w:asciiTheme="minorEastAsia" w:hAnsiTheme="minorEastAsia" w:eastAsiaTheme="minorEastAsia"/>
                <w:b/>
                <w:bCs w:val="0"/>
                <w:color w:val="auto"/>
                <w:sz w:val="24"/>
                <w:highlight w:val="none"/>
              </w:rPr>
            </w:pPr>
            <w:r>
              <w:rPr>
                <w:rFonts w:hint="eastAsia" w:asciiTheme="minorEastAsia" w:hAnsiTheme="minorEastAsia" w:eastAsiaTheme="minorEastAsia"/>
                <w:b/>
                <w:bCs w:val="0"/>
                <w:color w:val="auto"/>
                <w:sz w:val="24"/>
                <w:highlight w:val="none"/>
              </w:rPr>
              <w:t>2、所获荣誉：（此项满分10分）</w:t>
            </w:r>
          </w:p>
          <w:p w14:paraId="13BD9DA2">
            <w:pPr>
              <w:shd w:val="clear"/>
              <w:spacing w:line="360" w:lineRule="auto"/>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供应商近三年(自竞争性磋商公告发布之日起向前追溯三年)所获荣誉：</w:t>
            </w:r>
          </w:p>
          <w:p w14:paraId="1637E4F7">
            <w:pPr>
              <w:shd w:val="clear"/>
              <w:spacing w:line="360" w:lineRule="auto"/>
              <w:jc w:val="left"/>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供应商获得过市级及以上行政主管部门颁发的优秀建筑业企业称号的，</w:t>
            </w:r>
            <w:r>
              <w:rPr>
                <w:rFonts w:hint="eastAsia" w:asciiTheme="minorEastAsia" w:hAnsiTheme="minorEastAsia" w:eastAsiaTheme="minorEastAsia"/>
                <w:bCs/>
                <w:color w:val="auto"/>
                <w:sz w:val="24"/>
                <w:highlight w:val="none"/>
              </w:rPr>
              <w:t>每提供一项得3.5分，本项满分7分。</w:t>
            </w:r>
          </w:p>
          <w:p w14:paraId="77A53B05">
            <w:pPr>
              <w:shd w:val="clear"/>
              <w:spacing w:line="360" w:lineRule="auto"/>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注:①以获奖时间为准；</w:t>
            </w:r>
          </w:p>
          <w:p w14:paraId="14737098">
            <w:pPr>
              <w:shd w:val="clear"/>
              <w:spacing w:line="360" w:lineRule="auto"/>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②</w:t>
            </w:r>
            <w:r>
              <w:rPr>
                <w:rFonts w:hint="eastAsia" w:asciiTheme="minorEastAsia" w:hAnsiTheme="minorEastAsia" w:eastAsiaTheme="minorEastAsia"/>
                <w:bCs/>
                <w:color w:val="auto"/>
                <w:sz w:val="24"/>
                <w:highlight w:val="none"/>
                <w:lang w:val="en-US" w:eastAsia="zh-CN"/>
              </w:rPr>
              <w:t>响应</w:t>
            </w:r>
            <w:r>
              <w:rPr>
                <w:rFonts w:hint="eastAsia" w:asciiTheme="minorEastAsia" w:hAnsiTheme="minorEastAsia" w:eastAsiaTheme="minorEastAsia"/>
                <w:bCs/>
                <w:color w:val="auto"/>
                <w:sz w:val="24"/>
                <w:highlight w:val="none"/>
              </w:rPr>
              <w:t>文件中提供获奖证书、批复、颁奖单位颁奖文件、网上公示截图（具有其中之一即可）等证明材料加盖供应商单位公章。</w:t>
            </w:r>
          </w:p>
          <w:p w14:paraId="3A78874B">
            <w:pPr>
              <w:shd w:val="clear"/>
              <w:spacing w:line="360" w:lineRule="auto"/>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以上材料提供扫描件或影印件，须能体现供应商应商名称，如无法体现，须另附颁奖单位的相关证明材料，未提供或不全的</w:t>
            </w:r>
            <w:r>
              <w:rPr>
                <w:rFonts w:hint="eastAsia" w:asciiTheme="minorEastAsia" w:hAnsiTheme="minorEastAsia" w:eastAsiaTheme="minorEastAsia"/>
                <w:bCs/>
                <w:color w:val="auto"/>
                <w:sz w:val="24"/>
                <w:highlight w:val="none"/>
                <w:lang w:val="en-US" w:eastAsia="zh-CN"/>
              </w:rPr>
              <w:t>不</w:t>
            </w:r>
            <w:r>
              <w:rPr>
                <w:rFonts w:hint="eastAsia" w:asciiTheme="minorEastAsia" w:hAnsiTheme="minorEastAsia" w:eastAsiaTheme="minorEastAsia"/>
                <w:bCs/>
                <w:color w:val="auto"/>
                <w:sz w:val="24"/>
                <w:highlight w:val="none"/>
              </w:rPr>
              <w:t>得分。</w:t>
            </w:r>
          </w:p>
          <w:p w14:paraId="7B232CAB">
            <w:pPr>
              <w:shd w:val="clear"/>
              <w:spacing w:line="360" w:lineRule="auto"/>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企业具有有效的质量管理体系认证证书、职业健康安全管理体系认证证书、环境管理体系认证证书的，每具有一个得1分，本项满分3分。</w:t>
            </w:r>
          </w:p>
          <w:p w14:paraId="43D4C258">
            <w:pPr>
              <w:shd w:val="clear"/>
              <w:spacing w:line="360" w:lineRule="auto"/>
              <w:jc w:val="left"/>
              <w:rPr>
                <w:rFonts w:asciiTheme="minorEastAsia" w:hAnsiTheme="minorEastAsia" w:eastAsiaTheme="minorEastAsia"/>
                <w:bCs/>
                <w:color w:val="auto"/>
                <w:sz w:val="24"/>
                <w:highlight w:val="none"/>
              </w:rPr>
            </w:pPr>
            <w:r>
              <w:rPr>
                <w:rFonts w:hint="eastAsia" w:asciiTheme="minorEastAsia" w:hAnsiTheme="minorEastAsia" w:eastAsiaTheme="minorEastAsia"/>
                <w:b w:val="0"/>
                <w:bCs/>
                <w:color w:val="auto"/>
                <w:sz w:val="24"/>
                <w:highlight w:val="none"/>
              </w:rPr>
              <w:t>注:供应商须提供在有效期内的认证证书以及在全国认证认可信息公共服务平台网站对发证机构的查询截图作为评审依据。未提供或提供不全的不得分。</w:t>
            </w:r>
          </w:p>
        </w:tc>
        <w:tc>
          <w:tcPr>
            <w:tcW w:w="670" w:type="pct"/>
            <w:tcBorders>
              <w:top w:val="single" w:color="auto" w:sz="4" w:space="0"/>
              <w:left w:val="single" w:color="auto" w:sz="4" w:space="0"/>
              <w:bottom w:val="single" w:color="auto" w:sz="4" w:space="0"/>
              <w:right w:val="single" w:color="auto" w:sz="4" w:space="0"/>
            </w:tcBorders>
            <w:vAlign w:val="center"/>
          </w:tcPr>
          <w:p w14:paraId="5941A207">
            <w:pPr>
              <w:shd w:val="clea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0-30分</w:t>
            </w:r>
          </w:p>
        </w:tc>
      </w:tr>
      <w:tr w14:paraId="2EF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864" w:type="pct"/>
            <w:vMerge w:val="continue"/>
            <w:tcBorders>
              <w:left w:val="single" w:color="auto" w:sz="4" w:space="0"/>
              <w:right w:val="single" w:color="auto" w:sz="4" w:space="0"/>
            </w:tcBorders>
            <w:vAlign w:val="center"/>
          </w:tcPr>
          <w:p w14:paraId="4CC839B9">
            <w:pPr>
              <w:shd w:val="clear"/>
              <w:spacing w:line="360" w:lineRule="auto"/>
              <w:ind w:firstLine="435"/>
              <w:jc w:val="center"/>
              <w:rPr>
                <w:rFonts w:asciiTheme="minorEastAsia" w:hAnsiTheme="minorEastAsia" w:eastAsiaTheme="minorEastAsia"/>
                <w:b/>
                <w:bCs/>
                <w:color w:val="auto"/>
                <w:sz w:val="24"/>
                <w:highlight w:val="none"/>
              </w:rPr>
            </w:pPr>
          </w:p>
        </w:tc>
        <w:tc>
          <w:tcPr>
            <w:tcW w:w="790" w:type="pct"/>
            <w:tcBorders>
              <w:top w:val="single" w:color="auto" w:sz="4" w:space="0"/>
              <w:left w:val="single" w:color="auto" w:sz="4" w:space="0"/>
              <w:bottom w:val="single" w:color="auto" w:sz="4" w:space="0"/>
              <w:right w:val="single" w:color="auto" w:sz="4" w:space="0"/>
            </w:tcBorders>
            <w:vAlign w:val="center"/>
          </w:tcPr>
          <w:p w14:paraId="1245EDB5">
            <w:pPr>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拟派本项目服务人员</w:t>
            </w:r>
          </w:p>
        </w:tc>
        <w:tc>
          <w:tcPr>
            <w:tcW w:w="2674" w:type="pct"/>
            <w:tcBorders>
              <w:top w:val="single" w:color="auto" w:sz="4" w:space="0"/>
              <w:left w:val="single" w:color="auto" w:sz="4" w:space="0"/>
              <w:bottom w:val="single" w:color="auto" w:sz="4" w:space="0"/>
              <w:right w:val="single" w:color="auto" w:sz="4" w:space="0"/>
            </w:tcBorders>
            <w:vAlign w:val="center"/>
          </w:tcPr>
          <w:p w14:paraId="48278E8B">
            <w:pPr>
              <w:shd w:val="clear"/>
              <w:spacing w:line="360" w:lineRule="auto"/>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一、拟派项目负责人：（此项满分</w:t>
            </w:r>
            <w:r>
              <w:rPr>
                <w:rFonts w:hint="eastAsia" w:asciiTheme="minorEastAsia" w:hAnsiTheme="minorEastAsia" w:eastAsiaTheme="minorEastAsia"/>
                <w:b/>
                <w:bCs/>
                <w:color w:val="auto"/>
                <w:sz w:val="24"/>
                <w:highlight w:val="none"/>
                <w:lang w:val="en-US" w:eastAsia="zh-CN"/>
              </w:rPr>
              <w:t>1</w:t>
            </w:r>
            <w:r>
              <w:rPr>
                <w:rFonts w:hint="eastAsia" w:asciiTheme="minorEastAsia" w:hAnsiTheme="minorEastAsia" w:eastAsiaTheme="minorEastAsia"/>
                <w:b/>
                <w:bCs/>
                <w:color w:val="auto"/>
                <w:sz w:val="24"/>
                <w:highlight w:val="none"/>
              </w:rPr>
              <w:t>0分）</w:t>
            </w:r>
          </w:p>
          <w:p w14:paraId="128ACB73">
            <w:pPr>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1、具有工程造价专业高级工程师及以上职称的，得5分；</w:t>
            </w:r>
          </w:p>
          <w:p w14:paraId="7EACA632">
            <w:pPr>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2、拟派项目负责人类似业绩：</w:t>
            </w:r>
          </w:p>
          <w:p w14:paraId="32675660">
            <w:pPr>
              <w:shd w:val="clear"/>
              <w:spacing w:line="360" w:lineRule="auto"/>
              <w:jc w:val="left"/>
              <w:rPr>
                <w:rFonts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2022年1月1日至今作为项目负责人</w:t>
            </w:r>
            <w:r>
              <w:rPr>
                <w:rFonts w:hint="eastAsia" w:asciiTheme="minorEastAsia" w:hAnsiTheme="minorEastAsia" w:eastAsiaTheme="minorEastAsia"/>
                <w:b w:val="0"/>
                <w:bCs w:val="0"/>
                <w:color w:val="auto"/>
                <w:sz w:val="24"/>
                <w:highlight w:val="none"/>
                <w:lang w:val="en-US" w:eastAsia="zh-CN"/>
              </w:rPr>
              <w:t>每</w:t>
            </w:r>
            <w:r>
              <w:rPr>
                <w:rFonts w:hint="eastAsia" w:asciiTheme="minorEastAsia" w:hAnsiTheme="minorEastAsia" w:eastAsiaTheme="minorEastAsia"/>
                <w:b w:val="0"/>
                <w:bCs w:val="0"/>
                <w:color w:val="auto"/>
                <w:sz w:val="24"/>
                <w:highlight w:val="none"/>
              </w:rPr>
              <w:t>承担</w:t>
            </w:r>
            <w:r>
              <w:rPr>
                <w:rFonts w:hint="eastAsia" w:asciiTheme="minorEastAsia" w:hAnsiTheme="minorEastAsia" w:eastAsiaTheme="minorEastAsia"/>
                <w:b w:val="0"/>
                <w:bCs w:val="0"/>
                <w:color w:val="auto"/>
                <w:sz w:val="24"/>
                <w:highlight w:val="none"/>
                <w:lang w:val="en-US" w:eastAsia="zh-CN"/>
              </w:rPr>
              <w:t>1个</w:t>
            </w:r>
            <w:r>
              <w:rPr>
                <w:rFonts w:hint="eastAsia" w:asciiTheme="minorEastAsia" w:hAnsiTheme="minorEastAsia" w:eastAsiaTheme="minorEastAsia"/>
                <w:b w:val="0"/>
                <w:bCs w:val="0"/>
                <w:color w:val="auto"/>
                <w:sz w:val="24"/>
                <w:highlight w:val="none"/>
              </w:rPr>
              <w:t>单个房地产开发项目总建筑面积在10万m2（含）-</w:t>
            </w:r>
            <w:r>
              <w:rPr>
                <w:rFonts w:hint="eastAsia" w:asciiTheme="minorEastAsia" w:hAnsiTheme="minorEastAsia" w:eastAsiaTheme="minorEastAsia"/>
                <w:b w:val="0"/>
                <w:bCs w:val="0"/>
                <w:color w:val="auto"/>
                <w:sz w:val="24"/>
                <w:highlight w:val="none"/>
                <w:lang w:val="en-US" w:eastAsia="zh-CN"/>
              </w:rPr>
              <w:t>1</w:t>
            </w:r>
            <w:r>
              <w:rPr>
                <w:rFonts w:hint="eastAsia" w:asciiTheme="minorEastAsia" w:hAnsiTheme="minorEastAsia" w:eastAsiaTheme="minorEastAsia"/>
                <w:b w:val="0"/>
                <w:bCs w:val="0"/>
                <w:color w:val="auto"/>
                <w:sz w:val="24"/>
                <w:highlight w:val="none"/>
              </w:rPr>
              <w:t>3万㎡（不含）全过程造价咨询业绩，得2分；</w:t>
            </w:r>
          </w:p>
          <w:p w14:paraId="1599FE3C">
            <w:pPr>
              <w:shd w:val="clear"/>
              <w:spacing w:line="360" w:lineRule="auto"/>
              <w:jc w:val="left"/>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rPr>
              <w:t>2022年1月1日至今作为项目负责人</w:t>
            </w:r>
            <w:r>
              <w:rPr>
                <w:rFonts w:hint="eastAsia" w:asciiTheme="minorEastAsia" w:hAnsiTheme="minorEastAsia" w:eastAsiaTheme="minorEastAsia"/>
                <w:b w:val="0"/>
                <w:bCs w:val="0"/>
                <w:color w:val="auto"/>
                <w:sz w:val="24"/>
                <w:highlight w:val="none"/>
                <w:lang w:val="en-US" w:eastAsia="zh-CN"/>
              </w:rPr>
              <w:t>每</w:t>
            </w:r>
            <w:r>
              <w:rPr>
                <w:rFonts w:hint="eastAsia" w:asciiTheme="minorEastAsia" w:hAnsiTheme="minorEastAsia" w:eastAsiaTheme="minorEastAsia"/>
                <w:b w:val="0"/>
                <w:bCs w:val="0"/>
                <w:color w:val="auto"/>
                <w:sz w:val="24"/>
                <w:highlight w:val="none"/>
              </w:rPr>
              <w:t>承担</w:t>
            </w:r>
            <w:r>
              <w:rPr>
                <w:rFonts w:hint="eastAsia" w:asciiTheme="minorEastAsia" w:hAnsiTheme="minorEastAsia" w:eastAsiaTheme="minorEastAsia"/>
                <w:b w:val="0"/>
                <w:bCs w:val="0"/>
                <w:color w:val="auto"/>
                <w:sz w:val="24"/>
                <w:highlight w:val="none"/>
                <w:lang w:val="en-US" w:eastAsia="zh-CN"/>
              </w:rPr>
              <w:t>1个</w:t>
            </w:r>
            <w:r>
              <w:rPr>
                <w:rFonts w:hint="eastAsia" w:asciiTheme="minorEastAsia" w:hAnsiTheme="minorEastAsia" w:eastAsiaTheme="minorEastAsia"/>
                <w:b w:val="0"/>
                <w:bCs w:val="0"/>
                <w:color w:val="auto"/>
                <w:sz w:val="24"/>
                <w:highlight w:val="none"/>
              </w:rPr>
              <w:t>单个房地产开发项目总建筑面积在</w:t>
            </w:r>
            <w:r>
              <w:rPr>
                <w:rFonts w:hint="eastAsia" w:asciiTheme="minorEastAsia" w:hAnsiTheme="minorEastAsia" w:eastAsiaTheme="minorEastAsia"/>
                <w:b w:val="0"/>
                <w:bCs w:val="0"/>
                <w:color w:val="auto"/>
                <w:sz w:val="24"/>
                <w:highlight w:val="none"/>
                <w:lang w:val="en-US" w:eastAsia="zh-CN"/>
              </w:rPr>
              <w:t>13</w:t>
            </w:r>
            <w:r>
              <w:rPr>
                <w:rFonts w:hint="eastAsia" w:asciiTheme="minorEastAsia" w:hAnsiTheme="minorEastAsia" w:eastAsiaTheme="minorEastAsia"/>
                <w:b w:val="0"/>
                <w:bCs w:val="0"/>
                <w:color w:val="auto"/>
                <w:sz w:val="24"/>
                <w:highlight w:val="none"/>
              </w:rPr>
              <w:t>万m2</w:t>
            </w:r>
            <w:r>
              <w:rPr>
                <w:rFonts w:hint="eastAsia" w:asciiTheme="minorEastAsia" w:hAnsiTheme="minorEastAsia" w:eastAsiaTheme="minorEastAsia"/>
                <w:b w:val="0"/>
                <w:bCs w:val="0"/>
                <w:color w:val="auto"/>
                <w:sz w:val="24"/>
                <w:highlight w:val="none"/>
                <w:lang w:val="en-US" w:eastAsia="zh-CN"/>
              </w:rPr>
              <w:t>及</w:t>
            </w:r>
            <w:r>
              <w:rPr>
                <w:rFonts w:hint="eastAsia" w:asciiTheme="minorEastAsia" w:hAnsiTheme="minorEastAsia" w:eastAsiaTheme="minorEastAsia"/>
                <w:b w:val="0"/>
                <w:bCs w:val="0"/>
                <w:color w:val="auto"/>
                <w:sz w:val="24"/>
                <w:highlight w:val="none"/>
              </w:rPr>
              <w:t>以上全过程造价咨询业绩，得5分</w:t>
            </w:r>
            <w:r>
              <w:rPr>
                <w:rFonts w:hint="eastAsia" w:asciiTheme="minorEastAsia" w:hAnsiTheme="minorEastAsia" w:eastAsiaTheme="minorEastAsia"/>
                <w:b w:val="0"/>
                <w:bCs w:val="0"/>
                <w:color w:val="auto"/>
                <w:sz w:val="24"/>
                <w:highlight w:val="none"/>
                <w:lang w:eastAsia="zh-CN"/>
              </w:rPr>
              <w:t>；</w:t>
            </w:r>
          </w:p>
          <w:p w14:paraId="3375F9E3">
            <w:pPr>
              <w:shd w:val="clear"/>
              <w:spacing w:line="360" w:lineRule="auto"/>
              <w:jc w:val="left"/>
              <w:rPr>
                <w:rFonts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注:</w:t>
            </w:r>
          </w:p>
          <w:p w14:paraId="41F583D8">
            <w:pPr>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b w:val="0"/>
                <w:bCs w:val="0"/>
                <w:color w:val="auto"/>
                <w:sz w:val="24"/>
                <w:highlight w:val="none"/>
              </w:rPr>
              <w:t>①</w:t>
            </w:r>
            <w:r>
              <w:rPr>
                <w:rFonts w:hint="eastAsia" w:asciiTheme="minorEastAsia" w:hAnsiTheme="minorEastAsia" w:eastAsiaTheme="minorEastAsia"/>
                <w:b w:val="0"/>
                <w:bCs w:val="0"/>
                <w:color w:val="auto"/>
                <w:sz w:val="24"/>
                <w:highlight w:val="none"/>
                <w:lang w:val="en-US" w:eastAsia="zh-CN"/>
              </w:rPr>
              <w:t>项目负责人必须为本单位人员，</w:t>
            </w:r>
            <w:r>
              <w:rPr>
                <w:rFonts w:hint="eastAsia" w:asciiTheme="minorEastAsia" w:hAnsiTheme="minorEastAsia" w:eastAsiaTheme="minorEastAsia"/>
                <w:color w:val="auto"/>
                <w:sz w:val="24"/>
                <w:highlight w:val="none"/>
              </w:rPr>
              <w:t>提供</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任意一个月(自竞争性磋商公告发布之日起向前追溯三个月内任意一个月)的社保证明及有效的职称证书复印件加盖单位公章。</w:t>
            </w:r>
          </w:p>
          <w:p w14:paraId="10F54F9E">
            <w:pPr>
              <w:pageBreakBefore w:val="0"/>
              <w:widowControl w:val="0"/>
              <w:shd w:val="clear"/>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②</w:t>
            </w:r>
            <w:r>
              <w:rPr>
                <w:rFonts w:hint="eastAsia" w:asciiTheme="minorEastAsia" w:hAnsiTheme="minorEastAsia" w:eastAsiaTheme="minorEastAsia"/>
                <w:color w:val="auto"/>
                <w:sz w:val="24"/>
                <w:highlight w:val="none"/>
              </w:rPr>
              <w:t>须提供有效的合同或协议书（或委托证明）等证明文件的复印件加盖单位公章。（认定时间以合同签订时间为准）如不能体现时间、项目内容类别、项目投资性质、项目负责人、服务内容（包括但不限于方案测算、施工图测算、施工图预算核对、签证变更、市场询价、合同结算等）的，须由委托人出具加盖委托人公章的证明材料复印件；</w:t>
            </w:r>
          </w:p>
          <w:p w14:paraId="756CC173">
            <w:pPr>
              <w:shd w:val="clear"/>
              <w:spacing w:line="360" w:lineRule="auto"/>
              <w:jc w:val="left"/>
              <w:rPr>
                <w:rFonts w:asciiTheme="minorEastAsia" w:hAnsiTheme="minorEastAsia" w:eastAsiaTheme="minorEastAsia"/>
                <w:bCs/>
                <w:color w:val="auto"/>
                <w:sz w:val="24"/>
                <w:highlight w:val="none"/>
              </w:rPr>
            </w:pPr>
            <w:r>
              <w:rPr>
                <w:rFonts w:hint="default" w:ascii="Calibri" w:hAnsi="Calibri" w:cs="Calibri" w:eastAsiaTheme="minorEastAsia"/>
                <w:bCs/>
                <w:color w:val="auto"/>
                <w:sz w:val="21"/>
                <w:szCs w:val="16"/>
                <w:highlight w:val="none"/>
                <w:lang w:val="en-US" w:eastAsia="zh-CN"/>
              </w:rPr>
              <w:t>③</w:t>
            </w:r>
            <w:r>
              <w:rPr>
                <w:rFonts w:hint="eastAsia" w:asciiTheme="minorEastAsia" w:hAnsiTheme="minorEastAsia" w:eastAsiaTheme="minorEastAsia"/>
                <w:bCs/>
                <w:color w:val="auto"/>
                <w:sz w:val="24"/>
                <w:highlight w:val="none"/>
              </w:rPr>
              <w:t>同一项目不累计加分，以最高分计。</w:t>
            </w:r>
          </w:p>
          <w:p w14:paraId="5A67E2A3">
            <w:pPr>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b/>
                <w:bCs/>
                <w:color w:val="auto"/>
                <w:sz w:val="24"/>
                <w:highlight w:val="none"/>
                <w:lang w:val="en-US" w:eastAsia="zh-CN"/>
              </w:rPr>
            </w:pPr>
          </w:p>
          <w:p w14:paraId="469EA892">
            <w:pPr>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二、拟派本项目其他人员：（此项满分10分）</w:t>
            </w:r>
          </w:p>
          <w:p w14:paraId="335E999C">
            <w:pPr>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1、拟派本项目其他人员中（除项目负责人外）有1名注册造价师的，每提供一个得2分，满分4分；</w:t>
            </w:r>
          </w:p>
          <w:p w14:paraId="26041409">
            <w:pPr>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2、拟派本项目其他人员中（除项目负责人外）有1名拥有工程造价专业工程师及以上职称的，每提供一个加2分，满分6分；</w:t>
            </w:r>
          </w:p>
          <w:p w14:paraId="2327FA95">
            <w:pPr>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注：</w:t>
            </w:r>
          </w:p>
          <w:p w14:paraId="7468D78E">
            <w:pPr>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①拟派人员中注册造价师须提供通过“中国建设工程造价管理协会”网站“工程造价咨询单位查询”的供应商聘用的所有造价师</w:t>
            </w:r>
            <w:r>
              <w:rPr>
                <w:rFonts w:hint="eastAsia" w:asciiTheme="minorEastAsia" w:hAnsiTheme="minorEastAsia" w:eastAsiaTheme="minorEastAsia"/>
                <w:bCs/>
                <w:color w:val="auto"/>
                <w:sz w:val="24"/>
                <w:highlight w:val="none"/>
              </w:rPr>
              <w:t>汇总结果网页或截图</w:t>
            </w:r>
            <w:r>
              <w:rPr>
                <w:rFonts w:hint="eastAsia" w:asciiTheme="minorEastAsia" w:hAnsiTheme="minorEastAsia" w:eastAsiaTheme="minorEastAsia"/>
                <w:bCs/>
                <w:color w:val="auto"/>
                <w:sz w:val="24"/>
                <w:highlight w:val="none"/>
                <w:lang w:val="en-US" w:eastAsia="zh-CN"/>
              </w:rPr>
              <w:t>(如有)</w:t>
            </w:r>
            <w:r>
              <w:rPr>
                <w:rFonts w:hint="eastAsia" w:asciiTheme="minorEastAsia" w:hAnsiTheme="minorEastAsia" w:eastAsiaTheme="minorEastAsia"/>
                <w:bCs/>
                <w:color w:val="auto"/>
                <w:sz w:val="24"/>
                <w:highlight w:val="none"/>
              </w:rPr>
              <w:t>、执业资格证书、注册证书的扫描件或影印件（加盖单位公章），以及供应商为其缴纳的任意一个月(自竞争性磋商公告发布之日起向前追溯三个月内任意一个月)的社保证明（加盖单位公章）；</w:t>
            </w:r>
          </w:p>
          <w:p w14:paraId="6A5F6C5E">
            <w:pPr>
              <w:pStyle w:val="2"/>
              <w:pageBreakBefore w:val="0"/>
              <w:widowControl w:val="0"/>
              <w:shd w:val="clear"/>
              <w:kinsoku/>
              <w:wordWrap/>
              <w:overflowPunct/>
              <w:topLinePunct w:val="0"/>
              <w:autoSpaceDE/>
              <w:autoSpaceDN/>
              <w:bidi w:val="0"/>
              <w:adjustRightInd/>
              <w:snapToGrid/>
              <w:spacing w:line="360" w:lineRule="auto"/>
              <w:textAlignment w:val="auto"/>
              <w:rPr>
                <w:color w:val="auto"/>
                <w:highlight w:val="none"/>
              </w:rPr>
            </w:pPr>
            <w:r>
              <w:rPr>
                <w:rFonts w:hint="eastAsia" w:asciiTheme="minorEastAsia" w:hAnsiTheme="minorEastAsia" w:eastAsiaTheme="minorEastAsia"/>
                <w:b w:val="0"/>
                <w:bCs w:val="0"/>
                <w:color w:val="auto"/>
                <w:sz w:val="24"/>
                <w:highlight w:val="none"/>
              </w:rPr>
              <w:t>②</w:t>
            </w:r>
            <w:r>
              <w:rPr>
                <w:rFonts w:hint="eastAsia" w:asciiTheme="minorEastAsia" w:hAnsiTheme="minorEastAsia" w:eastAsiaTheme="minorEastAsia"/>
                <w:b w:val="0"/>
                <w:bCs w:val="0"/>
                <w:color w:val="auto"/>
                <w:sz w:val="24"/>
                <w:szCs w:val="20"/>
                <w:highlight w:val="none"/>
              </w:rPr>
              <w:t>拟派人员中职称证书复印件（加盖单位公章），以及供应商为其缴纳的任意一个月(自竞争性磋商公告发布之日起向前追溯三个月内任意一个月)的社保证明（加盖单位公章）；</w:t>
            </w:r>
          </w:p>
        </w:tc>
        <w:tc>
          <w:tcPr>
            <w:tcW w:w="670" w:type="pct"/>
            <w:tcBorders>
              <w:top w:val="single" w:color="auto" w:sz="4" w:space="0"/>
              <w:left w:val="single" w:color="auto" w:sz="4" w:space="0"/>
              <w:bottom w:val="single" w:color="auto" w:sz="4" w:space="0"/>
              <w:right w:val="single" w:color="auto" w:sz="4" w:space="0"/>
            </w:tcBorders>
            <w:vAlign w:val="center"/>
          </w:tcPr>
          <w:p w14:paraId="17E9E7C2">
            <w:pPr>
              <w:shd w:val="clea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0-</w:t>
            </w:r>
            <w:r>
              <w:rPr>
                <w:rFonts w:hint="eastAsia" w:asciiTheme="minorEastAsia" w:hAnsiTheme="minorEastAsia" w:eastAsiaTheme="minorEastAsia"/>
                <w:b/>
                <w:bCs/>
                <w:color w:val="auto"/>
                <w:sz w:val="24"/>
                <w:highlight w:val="none"/>
                <w:lang w:val="en-US" w:eastAsia="zh-CN"/>
              </w:rPr>
              <w:t>2</w:t>
            </w:r>
            <w:r>
              <w:rPr>
                <w:rFonts w:hint="eastAsia" w:asciiTheme="minorEastAsia" w:hAnsiTheme="minorEastAsia" w:eastAsiaTheme="minorEastAsia"/>
                <w:b/>
                <w:bCs/>
                <w:color w:val="auto"/>
                <w:sz w:val="24"/>
                <w:highlight w:val="none"/>
              </w:rPr>
              <w:t>0分</w:t>
            </w:r>
          </w:p>
        </w:tc>
      </w:tr>
      <w:tr w14:paraId="029A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continue"/>
            <w:tcBorders>
              <w:left w:val="single" w:color="auto" w:sz="4" w:space="0"/>
              <w:right w:val="single" w:color="auto" w:sz="4" w:space="0"/>
            </w:tcBorders>
            <w:vAlign w:val="center"/>
          </w:tcPr>
          <w:p w14:paraId="5410A8D0">
            <w:pPr>
              <w:shd w:val="clear"/>
              <w:spacing w:line="360" w:lineRule="auto"/>
              <w:ind w:firstLine="435"/>
              <w:jc w:val="center"/>
              <w:rPr>
                <w:rFonts w:asciiTheme="minorEastAsia" w:hAnsiTheme="minorEastAsia" w:eastAsiaTheme="minorEastAsia"/>
                <w:b/>
                <w:bCs/>
                <w:color w:val="auto"/>
                <w:sz w:val="24"/>
                <w:highlight w:val="none"/>
              </w:rPr>
            </w:pPr>
          </w:p>
        </w:tc>
        <w:tc>
          <w:tcPr>
            <w:tcW w:w="790" w:type="pct"/>
            <w:tcBorders>
              <w:top w:val="single" w:color="auto" w:sz="4" w:space="0"/>
              <w:left w:val="single" w:color="auto" w:sz="4" w:space="0"/>
              <w:bottom w:val="single" w:color="auto" w:sz="4" w:space="0"/>
              <w:right w:val="single" w:color="auto" w:sz="4" w:space="0"/>
            </w:tcBorders>
            <w:vAlign w:val="center"/>
          </w:tcPr>
          <w:p w14:paraId="4C2CA34B">
            <w:pPr>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咨询服务方案</w:t>
            </w:r>
          </w:p>
        </w:tc>
        <w:tc>
          <w:tcPr>
            <w:tcW w:w="2674" w:type="pct"/>
            <w:tcBorders>
              <w:top w:val="single" w:color="auto" w:sz="4" w:space="0"/>
              <w:left w:val="single" w:color="auto" w:sz="4" w:space="0"/>
              <w:bottom w:val="single" w:color="auto" w:sz="4" w:space="0"/>
              <w:right w:val="single" w:color="auto" w:sz="4" w:space="0"/>
            </w:tcBorders>
            <w:vAlign w:val="center"/>
          </w:tcPr>
          <w:p w14:paraId="292AD37E">
            <w:pPr>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服务方案要体现如下：</w:t>
            </w:r>
          </w:p>
          <w:p w14:paraId="1EDF6C79">
            <w:pPr>
              <w:shd w:val="clea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1、造价咨询服务方案内容是否全面，详实，有针对性，有详细、合理可行的服务方案，对开发企业全过程造价咨询有深刻理解，并提出合理化建议，能最大程度满足本项目建设方需求。</w:t>
            </w:r>
          </w:p>
          <w:p w14:paraId="2F1C57C0">
            <w:pPr>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①内容非常全面、针对性强、服务方案合理、详细且可行性强的，得</w:t>
            </w: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分；</w:t>
            </w:r>
          </w:p>
          <w:p w14:paraId="3B0A7C68">
            <w:pPr>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②内容较全面、针对性较强、服务方案较合理、可操作性一般，得</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分；</w:t>
            </w:r>
          </w:p>
          <w:p w14:paraId="7BAC0C18">
            <w:pPr>
              <w:shd w:val="clea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③内容欠缺、针对性一般、服务方案欠缺、无可操作性，得</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分；</w:t>
            </w:r>
          </w:p>
          <w:p w14:paraId="2E1446AF">
            <w:pPr>
              <w:pageBreakBefore w:val="0"/>
              <w:widowControl w:val="0"/>
              <w:shd w:val="clear"/>
              <w:kinsoku/>
              <w:wordWrap/>
              <w:overflowPunct/>
              <w:topLinePunct w:val="0"/>
              <w:autoSpaceDE/>
              <w:autoSpaceDN/>
              <w:bidi w:val="0"/>
              <w:adjustRightInd/>
              <w:snapToGrid/>
              <w:spacing w:line="360" w:lineRule="auto"/>
              <w:jc w:val="left"/>
              <w:textAlignment w:val="auto"/>
              <w:rPr>
                <w:rFonts w:hint="default" w:cs="@仿宋_GB2312" w:asciiTheme="minorEastAsia" w:hAnsiTheme="minorEastAsia" w:eastAsiaTheme="minorEastAsia"/>
                <w:b w:val="0"/>
                <w:bCs w:val="0"/>
                <w:color w:val="auto"/>
                <w:kern w:val="2"/>
                <w:sz w:val="24"/>
                <w:szCs w:val="20"/>
                <w:highlight w:val="none"/>
                <w:lang w:val="en-US" w:eastAsia="zh-CN" w:bidi="ar-SA"/>
              </w:rPr>
            </w:pPr>
            <w:r>
              <w:rPr>
                <w:rFonts w:hint="eastAsia" w:cs="@仿宋_GB2312" w:asciiTheme="minorEastAsia" w:hAnsiTheme="minorEastAsia" w:eastAsiaTheme="minorEastAsia"/>
                <w:b w:val="0"/>
                <w:bCs w:val="0"/>
                <w:color w:val="auto"/>
                <w:kern w:val="2"/>
                <w:sz w:val="24"/>
                <w:szCs w:val="20"/>
                <w:highlight w:val="none"/>
                <w:lang w:val="en-US" w:eastAsia="zh-CN" w:bidi="ar-SA"/>
              </w:rPr>
              <w:t>本项满分15分，未提供或者提供不全得0分。</w:t>
            </w:r>
          </w:p>
          <w:p w14:paraId="26E40F1E">
            <w:pPr>
              <w:pageBreakBefore w:val="0"/>
              <w:widowControl w:val="0"/>
              <w:shd w:val="clear"/>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eastAsiaTheme="minorEastAsia"/>
                <w:b w:val="0"/>
                <w:bCs w:val="0"/>
                <w:color w:val="auto"/>
                <w:kern w:val="2"/>
                <w:sz w:val="24"/>
                <w:szCs w:val="20"/>
                <w:highlight w:val="none"/>
                <w:lang w:val="en-US" w:eastAsia="zh-CN" w:bidi="ar-SA"/>
              </w:rPr>
            </w:pPr>
            <w:r>
              <w:rPr>
                <w:rFonts w:hint="eastAsia" w:cs="@仿宋_GB2312" w:asciiTheme="minorEastAsia" w:hAnsiTheme="minorEastAsia" w:eastAsiaTheme="minorEastAsia"/>
                <w:b w:val="0"/>
                <w:bCs w:val="0"/>
                <w:color w:val="auto"/>
                <w:kern w:val="2"/>
                <w:sz w:val="24"/>
                <w:szCs w:val="20"/>
                <w:highlight w:val="none"/>
                <w:lang w:val="en-US" w:eastAsia="zh-CN" w:bidi="ar-SA"/>
              </w:rPr>
              <w:t>2、工程造价咨询成果文件质量控制制度和措施完善，科学合理，有创新性措施可以确保本项目造价咨询工作的准确性和及时性，人员组织安排合理。投标人的服务承诺，承诺咨询业务成果误差率控制在1.5%以内</w:t>
            </w:r>
            <w:r>
              <w:rPr>
                <w:rFonts w:hint="eastAsia" w:asciiTheme="minorEastAsia" w:hAnsiTheme="minorEastAsia" w:eastAsiaTheme="minorEastAsia"/>
                <w:color w:val="auto"/>
                <w:sz w:val="24"/>
                <w:highlight w:val="none"/>
              </w:rPr>
              <w:t>且承诺在合同约定</w:t>
            </w:r>
            <w:r>
              <w:rPr>
                <w:rFonts w:hint="eastAsia" w:cs="@仿宋_GB2312" w:asciiTheme="minorEastAsia" w:hAnsiTheme="minorEastAsia" w:eastAsiaTheme="minorEastAsia"/>
                <w:b w:val="0"/>
                <w:bCs w:val="0"/>
                <w:color w:val="auto"/>
                <w:kern w:val="2"/>
                <w:sz w:val="24"/>
                <w:szCs w:val="20"/>
                <w:highlight w:val="none"/>
                <w:lang w:val="en-US" w:eastAsia="zh-CN" w:bidi="ar-SA"/>
              </w:rPr>
              <w:t>期限内出成果文件的，并且有详细的管理措施及风险管控技术。</w:t>
            </w:r>
          </w:p>
          <w:p w14:paraId="0497B5B4">
            <w:pPr>
              <w:pageBreakBefore w:val="0"/>
              <w:widowControl w:val="0"/>
              <w:shd w:val="clear"/>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eastAsiaTheme="minorEastAsia"/>
                <w:b w:val="0"/>
                <w:bCs w:val="0"/>
                <w:color w:val="auto"/>
                <w:kern w:val="2"/>
                <w:sz w:val="24"/>
                <w:szCs w:val="20"/>
                <w:highlight w:val="none"/>
                <w:lang w:val="en-US" w:eastAsia="zh-CN" w:bidi="ar-SA"/>
              </w:rPr>
            </w:pPr>
            <w:r>
              <w:rPr>
                <w:rFonts w:hint="eastAsia" w:cs="@仿宋_GB2312" w:asciiTheme="minorEastAsia" w:hAnsiTheme="minorEastAsia" w:eastAsiaTheme="minorEastAsia"/>
                <w:b w:val="0"/>
                <w:bCs w:val="0"/>
                <w:color w:val="auto"/>
                <w:kern w:val="2"/>
                <w:sz w:val="24"/>
                <w:szCs w:val="20"/>
                <w:highlight w:val="none"/>
                <w:lang w:val="en-US" w:eastAsia="zh-CN" w:bidi="ar-SA"/>
              </w:rPr>
              <w:t>①质量措施控制完善、人员安排合理、能承诺误差率范围内和风险管控措施，得</w:t>
            </w:r>
            <w:r>
              <w:rPr>
                <w:rFonts w:hint="eastAsia" w:cs="@仿宋_GB2312" w:asciiTheme="minorEastAsia" w:hAnsiTheme="minorEastAsia" w:eastAsiaTheme="minorEastAsia"/>
                <w:b w:val="0"/>
                <w:bCs w:val="0"/>
                <w:color w:val="auto"/>
                <w:kern w:val="2"/>
                <w:sz w:val="24"/>
                <w:szCs w:val="20"/>
                <w:highlight w:val="none"/>
                <w:lang w:val="en-US" w:eastAsia="zh-CN" w:bidi="ar-SA"/>
              </w:rPr>
              <w:t>15</w:t>
            </w:r>
            <w:r>
              <w:rPr>
                <w:rFonts w:hint="eastAsia" w:cs="@仿宋_GB2312" w:asciiTheme="minorEastAsia" w:hAnsiTheme="minorEastAsia" w:eastAsiaTheme="minorEastAsia"/>
                <w:b w:val="0"/>
                <w:bCs w:val="0"/>
                <w:color w:val="auto"/>
                <w:kern w:val="2"/>
                <w:sz w:val="24"/>
                <w:szCs w:val="20"/>
                <w:highlight w:val="none"/>
                <w:lang w:val="en-US" w:eastAsia="zh-CN" w:bidi="ar-SA"/>
              </w:rPr>
              <w:t>分；</w:t>
            </w:r>
          </w:p>
          <w:p w14:paraId="6E3DCFA0">
            <w:pPr>
              <w:pageBreakBefore w:val="0"/>
              <w:widowControl w:val="0"/>
              <w:shd w:val="clear"/>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eastAsiaTheme="minorEastAsia"/>
                <w:b w:val="0"/>
                <w:bCs w:val="0"/>
                <w:color w:val="auto"/>
                <w:kern w:val="2"/>
                <w:sz w:val="24"/>
                <w:szCs w:val="20"/>
                <w:highlight w:val="none"/>
                <w:lang w:val="en-US" w:eastAsia="zh-CN" w:bidi="ar-SA"/>
              </w:rPr>
            </w:pPr>
            <w:r>
              <w:rPr>
                <w:rFonts w:hint="eastAsia" w:cs="@仿宋_GB2312" w:asciiTheme="minorEastAsia" w:hAnsiTheme="minorEastAsia" w:eastAsiaTheme="minorEastAsia"/>
                <w:b w:val="0"/>
                <w:bCs w:val="0"/>
                <w:color w:val="auto"/>
                <w:kern w:val="2"/>
                <w:sz w:val="24"/>
                <w:szCs w:val="20"/>
                <w:highlight w:val="none"/>
                <w:lang w:val="en-US" w:eastAsia="zh-CN" w:bidi="ar-SA"/>
              </w:rPr>
              <w:t>②质量措施控制一般、人员安排一般、能承诺误差率范围内和风险管控措施，得</w:t>
            </w:r>
            <w:r>
              <w:rPr>
                <w:rFonts w:hint="eastAsia" w:cs="@仿宋_GB2312" w:asciiTheme="minorEastAsia" w:hAnsiTheme="minorEastAsia" w:eastAsiaTheme="minorEastAsia"/>
                <w:b w:val="0"/>
                <w:bCs w:val="0"/>
                <w:color w:val="auto"/>
                <w:kern w:val="2"/>
                <w:sz w:val="24"/>
                <w:szCs w:val="20"/>
                <w:highlight w:val="none"/>
                <w:lang w:val="en-US" w:eastAsia="zh-CN" w:bidi="ar-SA"/>
              </w:rPr>
              <w:t>7</w:t>
            </w:r>
            <w:r>
              <w:rPr>
                <w:rFonts w:hint="eastAsia" w:cs="@仿宋_GB2312" w:asciiTheme="minorEastAsia" w:hAnsiTheme="minorEastAsia" w:eastAsiaTheme="minorEastAsia"/>
                <w:b w:val="0"/>
                <w:bCs w:val="0"/>
                <w:color w:val="auto"/>
                <w:kern w:val="2"/>
                <w:sz w:val="24"/>
                <w:szCs w:val="20"/>
                <w:highlight w:val="none"/>
                <w:lang w:val="en-US" w:eastAsia="zh-CN" w:bidi="ar-SA"/>
              </w:rPr>
              <w:t>分；</w:t>
            </w:r>
          </w:p>
          <w:p w14:paraId="08E4CEC9">
            <w:pPr>
              <w:pageBreakBefore w:val="0"/>
              <w:widowControl w:val="0"/>
              <w:shd w:val="clear"/>
              <w:kinsoku/>
              <w:wordWrap/>
              <w:overflowPunct/>
              <w:topLinePunct w:val="0"/>
              <w:autoSpaceDE/>
              <w:autoSpaceDN/>
              <w:bidi w:val="0"/>
              <w:adjustRightInd/>
              <w:snapToGrid/>
              <w:spacing w:line="360" w:lineRule="auto"/>
              <w:jc w:val="left"/>
              <w:textAlignment w:val="auto"/>
              <w:rPr>
                <w:rFonts w:hint="default" w:cs="@仿宋_GB2312" w:asciiTheme="minorEastAsia" w:hAnsiTheme="minorEastAsia" w:eastAsiaTheme="minorEastAsia"/>
                <w:b w:val="0"/>
                <w:bCs w:val="0"/>
                <w:color w:val="auto"/>
                <w:kern w:val="2"/>
                <w:sz w:val="24"/>
                <w:szCs w:val="20"/>
                <w:highlight w:val="none"/>
                <w:lang w:val="en-US" w:eastAsia="zh-CN" w:bidi="ar-SA"/>
              </w:rPr>
            </w:pPr>
            <w:r>
              <w:rPr>
                <w:rFonts w:hint="eastAsia" w:cs="@仿宋_GB2312" w:asciiTheme="minorEastAsia" w:hAnsiTheme="minorEastAsia" w:eastAsiaTheme="minorEastAsia"/>
                <w:b w:val="0"/>
                <w:bCs w:val="0"/>
                <w:color w:val="auto"/>
                <w:kern w:val="2"/>
                <w:sz w:val="24"/>
                <w:szCs w:val="20"/>
                <w:highlight w:val="none"/>
                <w:lang w:val="en-US" w:eastAsia="zh-CN" w:bidi="ar-SA"/>
              </w:rPr>
              <w:t>本项满分15分，未提供或者提供不全得0分。</w:t>
            </w:r>
          </w:p>
          <w:p w14:paraId="5B38CA96">
            <w:pPr>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3、服务方案中对本项目造价咨询工作的重点和难点关注点界定清楚，有科学合理恰当的应对措施和保障措施，措施内容有可行性和可借鉴性，有保密和廉政措施。</w:t>
            </w:r>
          </w:p>
          <w:p w14:paraId="6346DAAE">
            <w:pPr>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拟派驻专职服务于本项目的造价团队配置齐全，专业合理，责任分配清晰，综合考虑服务软硬件、造价师及造价员数量、职称、专业领域均衡度及执业经历（专职服务于本项目的造价咨询团队）。</w:t>
            </w:r>
          </w:p>
          <w:p w14:paraId="3771EC5F">
            <w:pPr>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①本项目重难点分析清晰、科学合理的应对措施、完善的咨询团队，得</w:t>
            </w:r>
            <w:r>
              <w:rPr>
                <w:rFonts w:hint="eastAsia" w:asciiTheme="minorEastAsia" w:hAnsiTheme="minorEastAsia" w:eastAsiaTheme="minorEastAsia"/>
                <w:color w:val="auto"/>
                <w:sz w:val="24"/>
                <w:highlight w:val="none"/>
              </w:rPr>
              <w:t>10</w:t>
            </w:r>
            <w:r>
              <w:rPr>
                <w:rFonts w:hint="eastAsia" w:asciiTheme="minorEastAsia" w:hAnsiTheme="minorEastAsia" w:eastAsiaTheme="minorEastAsia"/>
                <w:color w:val="auto"/>
                <w:sz w:val="24"/>
                <w:highlight w:val="none"/>
              </w:rPr>
              <w:t>分；</w:t>
            </w:r>
          </w:p>
          <w:p w14:paraId="0AC2999E">
            <w:pPr>
              <w:shd w:val="clea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②本项目重难点无明确认知、无明确的应对措施、咨询团队配置一般，得5分；</w:t>
            </w:r>
          </w:p>
          <w:p w14:paraId="73FB346E">
            <w:pPr>
              <w:pageBreakBefore w:val="0"/>
              <w:widowControl w:val="0"/>
              <w:shd w:val="clear"/>
              <w:kinsoku/>
              <w:wordWrap/>
              <w:overflowPunct/>
              <w:topLinePunct w:val="0"/>
              <w:autoSpaceDE/>
              <w:autoSpaceDN/>
              <w:bidi w:val="0"/>
              <w:adjustRightInd/>
              <w:snapToGrid/>
              <w:spacing w:line="360" w:lineRule="auto"/>
              <w:jc w:val="left"/>
              <w:textAlignment w:val="auto"/>
              <w:rPr>
                <w:color w:val="auto"/>
                <w:highlight w:val="none"/>
              </w:rPr>
            </w:pPr>
            <w:r>
              <w:rPr>
                <w:rFonts w:hint="eastAsia" w:cs="@仿宋_GB2312" w:asciiTheme="minorEastAsia" w:hAnsiTheme="minorEastAsia" w:eastAsiaTheme="minorEastAsia"/>
                <w:b w:val="0"/>
                <w:bCs w:val="0"/>
                <w:color w:val="auto"/>
                <w:kern w:val="2"/>
                <w:sz w:val="24"/>
                <w:szCs w:val="20"/>
                <w:highlight w:val="none"/>
                <w:lang w:val="en-US" w:eastAsia="zh-CN" w:bidi="ar-SA"/>
              </w:rPr>
              <w:t>本项满分10分，提供或者提供不全得0分。</w:t>
            </w:r>
          </w:p>
        </w:tc>
        <w:tc>
          <w:tcPr>
            <w:tcW w:w="670" w:type="pct"/>
            <w:tcBorders>
              <w:top w:val="single" w:color="auto" w:sz="4" w:space="0"/>
              <w:left w:val="single" w:color="auto" w:sz="4" w:space="0"/>
              <w:bottom w:val="single" w:color="auto" w:sz="4" w:space="0"/>
              <w:right w:val="single" w:color="auto" w:sz="4" w:space="0"/>
            </w:tcBorders>
            <w:vAlign w:val="center"/>
          </w:tcPr>
          <w:p w14:paraId="0ABA66E5">
            <w:pPr>
              <w:shd w:val="clea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0-</w:t>
            </w:r>
            <w:r>
              <w:rPr>
                <w:rFonts w:hint="eastAsia" w:asciiTheme="minorEastAsia" w:hAnsiTheme="minorEastAsia" w:eastAsiaTheme="minorEastAsia"/>
                <w:b/>
                <w:bCs/>
                <w:color w:val="auto"/>
                <w:sz w:val="24"/>
                <w:highlight w:val="none"/>
                <w:lang w:val="en-US" w:eastAsia="zh-CN"/>
              </w:rPr>
              <w:t>4</w:t>
            </w:r>
            <w:r>
              <w:rPr>
                <w:rFonts w:hint="eastAsia" w:asciiTheme="minorEastAsia" w:hAnsiTheme="minorEastAsia" w:eastAsiaTheme="minorEastAsia"/>
                <w:b/>
                <w:bCs/>
                <w:color w:val="auto"/>
                <w:sz w:val="24"/>
                <w:highlight w:val="none"/>
              </w:rPr>
              <w:t>0分</w:t>
            </w:r>
          </w:p>
        </w:tc>
      </w:tr>
      <w:tr w14:paraId="2D48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tcBorders>
              <w:left w:val="single" w:color="auto" w:sz="4" w:space="0"/>
              <w:right w:val="single" w:color="auto" w:sz="4" w:space="0"/>
            </w:tcBorders>
            <w:vAlign w:val="center"/>
          </w:tcPr>
          <w:p w14:paraId="04EDC8C9">
            <w:pPr>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w:t>
            </w:r>
          </w:p>
          <w:p w14:paraId="392480EB">
            <w:pPr>
              <w:shd w:val="clea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10</w:t>
            </w:r>
            <w:r>
              <w:rPr>
                <w:rFonts w:hint="eastAsia" w:asciiTheme="minorEastAsia" w:hAnsiTheme="minorEastAsia" w:eastAsiaTheme="minorEastAsia"/>
                <w:color w:val="auto"/>
                <w:sz w:val="24"/>
                <w:highlight w:val="none"/>
              </w:rPr>
              <w:t>分）</w:t>
            </w:r>
          </w:p>
        </w:tc>
        <w:tc>
          <w:tcPr>
            <w:tcW w:w="4135" w:type="pct"/>
            <w:gridSpan w:val="3"/>
            <w:tcBorders>
              <w:top w:val="single" w:color="auto" w:sz="4" w:space="0"/>
              <w:left w:val="single" w:color="auto" w:sz="4" w:space="0"/>
              <w:bottom w:val="single" w:color="auto" w:sz="4" w:space="0"/>
              <w:right w:val="single" w:color="auto" w:sz="4" w:space="0"/>
            </w:tcBorders>
            <w:vAlign w:val="center"/>
          </w:tcPr>
          <w:p w14:paraId="3972DBBB">
            <w:pPr>
              <w:shd w:val="clea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价格分统一采用低价优先法，即满足磋商文件要求且最后报价最低的供应商的价格为磋商基准价，其价格分为满分</w:t>
            </w:r>
            <w:r>
              <w:rPr>
                <w:rFonts w:hint="eastAsia" w:asciiTheme="minorEastAsia" w:hAnsiTheme="minorEastAsia" w:eastAsiaTheme="minorEastAsia"/>
                <w:color w:val="auto"/>
                <w:sz w:val="24"/>
                <w:highlight w:val="none"/>
                <w:u w:val="single"/>
              </w:rPr>
              <w:t>10</w:t>
            </w:r>
            <w:r>
              <w:rPr>
                <w:rFonts w:hint="eastAsia" w:asciiTheme="minorEastAsia" w:hAnsiTheme="minorEastAsia" w:eastAsiaTheme="minorEastAsia"/>
                <w:color w:val="auto"/>
                <w:sz w:val="24"/>
                <w:highlight w:val="none"/>
              </w:rPr>
              <w:t>分。其他供应商的价格分统一按照下列公式计算：</w:t>
            </w:r>
          </w:p>
          <w:p w14:paraId="07162B3C">
            <w:pPr>
              <w:shd w:val="clea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磋商报价得分＝（磋商基准价/</w:t>
            </w:r>
            <w:r>
              <w:rPr>
                <w:rFonts w:hint="eastAsia" w:ascii="宋体" w:hAnsi="宋体" w:eastAsia="宋体"/>
                <w:color w:val="auto"/>
                <w:sz w:val="24"/>
                <w:highlight w:val="none"/>
              </w:rPr>
              <w:t>最后磋商</w:t>
            </w:r>
            <w:r>
              <w:rPr>
                <w:rFonts w:hint="eastAsia" w:asciiTheme="minorEastAsia" w:hAnsiTheme="minorEastAsia" w:eastAsiaTheme="minorEastAsia"/>
                <w:color w:val="auto"/>
                <w:sz w:val="24"/>
                <w:highlight w:val="none"/>
              </w:rPr>
              <w:t>报价）×</w:t>
            </w:r>
            <w:r>
              <w:rPr>
                <w:rFonts w:hint="eastAsia" w:asciiTheme="minorEastAsia" w:hAnsiTheme="minorEastAsia" w:eastAsiaTheme="minorEastAsia"/>
                <w:color w:val="auto"/>
                <w:sz w:val="24"/>
                <w:highlight w:val="none"/>
                <w:u w:val="single"/>
              </w:rPr>
              <w:t>10</w:t>
            </w:r>
            <w:r>
              <w:rPr>
                <w:rFonts w:hint="eastAsia" w:asciiTheme="minorEastAsia" w:hAnsiTheme="minorEastAsia" w:eastAsiaTheme="minorEastAsia"/>
                <w:color w:val="auto"/>
                <w:sz w:val="24"/>
                <w:highlight w:val="none"/>
              </w:rPr>
              <w:t>％×100</w:t>
            </w:r>
          </w:p>
        </w:tc>
      </w:tr>
    </w:tbl>
    <w:p w14:paraId="655369A0">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分值汇总</w:t>
      </w:r>
    </w:p>
    <w:p w14:paraId="699B7A16">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019F5CC5">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2）将每个供应商的技术资信分加上根据上述标准计算出的价格分，即为该供应商的综合总得分。</w:t>
      </w:r>
    </w:p>
    <w:p w14:paraId="51CA41EC">
      <w:pPr>
        <w:widowControl/>
        <w:shd w:val="clear"/>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8836E6B">
      <w:pPr>
        <w:shd w:val="clear"/>
        <w:spacing w:line="360" w:lineRule="auto"/>
        <w:jc w:val="center"/>
        <w:outlineLvl w:val="0"/>
        <w:rPr>
          <w:rFonts w:asciiTheme="minorEastAsia" w:hAnsiTheme="minorEastAsia" w:eastAsiaTheme="minorEastAsia"/>
          <w:b/>
          <w:color w:val="auto"/>
          <w:sz w:val="28"/>
          <w:highlight w:val="none"/>
        </w:rPr>
      </w:pPr>
      <w:bookmarkStart w:id="43" w:name="_Toc63440929"/>
      <w:bookmarkStart w:id="44" w:name="_Toc17167"/>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采购合同</w:t>
      </w:r>
      <w:bookmarkEnd w:id="43"/>
      <w:bookmarkEnd w:id="44"/>
    </w:p>
    <w:p w14:paraId="4D0E19C5">
      <w:pPr>
        <w:shd w:val="clear"/>
        <w:spacing w:line="480" w:lineRule="auto"/>
        <w:jc w:val="center"/>
        <w:rPr>
          <w:rFonts w:asciiTheme="minorEastAsia" w:hAnsiTheme="minorEastAsia" w:eastAsiaTheme="minorEastAsia"/>
          <w:b/>
          <w:color w:val="auto"/>
          <w:sz w:val="24"/>
          <w:highlight w:val="none"/>
        </w:rPr>
      </w:pPr>
    </w:p>
    <w:p w14:paraId="03B6D49E">
      <w:pPr>
        <w:shd w:val="clear"/>
        <w:spacing w:line="480" w:lineRule="auto"/>
        <w:jc w:val="center"/>
        <w:rPr>
          <w:rFonts w:asciiTheme="minorEastAsia" w:hAnsiTheme="minorEastAsia" w:eastAsiaTheme="minorEastAsia"/>
          <w:b/>
          <w:color w:val="auto"/>
          <w:sz w:val="24"/>
          <w:highlight w:val="none"/>
        </w:rPr>
      </w:pPr>
    </w:p>
    <w:p w14:paraId="781C7B32">
      <w:pPr>
        <w:shd w:val="clear"/>
        <w:spacing w:line="480" w:lineRule="auto"/>
        <w:jc w:val="center"/>
        <w:rPr>
          <w:rFonts w:asciiTheme="minorEastAsia" w:hAnsiTheme="minorEastAsia" w:eastAsiaTheme="minorEastAsia"/>
          <w:b/>
          <w:color w:val="auto"/>
          <w:sz w:val="24"/>
          <w:highlight w:val="none"/>
        </w:rPr>
      </w:pPr>
    </w:p>
    <w:p w14:paraId="45AAD3EF">
      <w:pPr>
        <w:shd w:val="clear"/>
        <w:spacing w:line="480" w:lineRule="auto"/>
        <w:jc w:val="center"/>
        <w:rPr>
          <w:rFonts w:cs="Times New Roman" w:asciiTheme="minorEastAsia" w:hAnsiTheme="minorEastAsia" w:eastAsiaTheme="minorEastAsia"/>
          <w:b/>
          <w:color w:val="auto"/>
          <w:sz w:val="24"/>
          <w:szCs w:val="24"/>
          <w:highlight w:val="none"/>
        </w:rPr>
      </w:pPr>
    </w:p>
    <w:p w14:paraId="27AE589B">
      <w:pPr>
        <w:shd w:val="clear"/>
        <w:spacing w:line="480" w:lineRule="auto"/>
        <w:jc w:val="center"/>
        <w:rPr>
          <w:rFonts w:cs="Times New Roman" w:asciiTheme="minorEastAsia" w:hAnsiTheme="minorEastAsia" w:eastAsiaTheme="minorEastAsia"/>
          <w:b/>
          <w:color w:val="auto"/>
          <w:sz w:val="24"/>
          <w:szCs w:val="24"/>
          <w:highlight w:val="none"/>
        </w:rPr>
      </w:pPr>
    </w:p>
    <w:p w14:paraId="1263BE69">
      <w:pPr>
        <w:pStyle w:val="8"/>
        <w:shd w:val="clear"/>
        <w:rPr>
          <w:color w:val="auto"/>
          <w:highlight w:val="none"/>
        </w:rPr>
      </w:pPr>
    </w:p>
    <w:p w14:paraId="0859E908">
      <w:pPr>
        <w:pStyle w:val="8"/>
        <w:shd w:val="clear"/>
        <w:rPr>
          <w:color w:val="auto"/>
          <w:highlight w:val="none"/>
        </w:rPr>
      </w:pPr>
    </w:p>
    <w:p w14:paraId="0D18E8EB">
      <w:pPr>
        <w:shd w:val="clear"/>
        <w:spacing w:before="120" w:line="480" w:lineRule="auto"/>
        <w:ind w:left="960"/>
        <w:rPr>
          <w:rFonts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项目名称：</w:t>
      </w:r>
      <w:r>
        <w:rPr>
          <w:rFonts w:hint="eastAsia" w:cs="Times New Roman" w:asciiTheme="minorEastAsia" w:hAnsiTheme="minorEastAsia" w:eastAsiaTheme="minorEastAsia"/>
          <w:color w:val="auto"/>
          <w:sz w:val="24"/>
          <w:szCs w:val="24"/>
          <w:highlight w:val="none"/>
          <w:u w:val="single"/>
        </w:rPr>
        <w:t>某项目</w:t>
      </w:r>
      <w:r>
        <w:rPr>
          <w:rFonts w:hint="eastAsia" w:cs="Times New Roman" w:asciiTheme="minorEastAsia" w:hAnsiTheme="minorEastAsia" w:eastAsiaTheme="minorEastAsia"/>
          <w:i/>
          <w:iCs/>
          <w:color w:val="auto"/>
          <w:sz w:val="24"/>
          <w:szCs w:val="24"/>
          <w:highlight w:val="none"/>
        </w:rPr>
        <w:t>（分包项目须填写完整的分包号及分包名称）</w:t>
      </w:r>
    </w:p>
    <w:p w14:paraId="1D62453F">
      <w:pPr>
        <w:shd w:val="clear"/>
        <w:spacing w:before="120" w:line="480" w:lineRule="auto"/>
        <w:ind w:left="960"/>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项目编号：</w:t>
      </w:r>
      <w:r>
        <w:rPr>
          <w:rFonts w:hint="eastAsia" w:cs="Times New Roman" w:asciiTheme="minorEastAsia" w:hAnsiTheme="minorEastAsia" w:eastAsiaTheme="minorEastAsia"/>
          <w:color w:val="auto"/>
          <w:sz w:val="24"/>
          <w:szCs w:val="24"/>
          <w:highlight w:val="none"/>
          <w:u w:val="single"/>
        </w:rPr>
        <w:t>某编号</w:t>
      </w:r>
    </w:p>
    <w:p w14:paraId="6F241FCD">
      <w:pPr>
        <w:shd w:val="clear"/>
        <w:spacing w:before="120" w:line="480" w:lineRule="auto"/>
        <w:ind w:left="960"/>
        <w:rPr>
          <w:rFonts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甲方（采购人）：</w:t>
      </w:r>
      <w:r>
        <w:rPr>
          <w:rFonts w:hint="eastAsia" w:cs="Times New Roman" w:asciiTheme="minorEastAsia" w:hAnsiTheme="minorEastAsia" w:eastAsiaTheme="minorEastAsia"/>
          <w:color w:val="auto"/>
          <w:sz w:val="24"/>
          <w:szCs w:val="24"/>
          <w:highlight w:val="none"/>
          <w:u w:val="single"/>
        </w:rPr>
        <w:t xml:space="preserve">                              </w:t>
      </w:r>
    </w:p>
    <w:p w14:paraId="66D413F2">
      <w:pPr>
        <w:shd w:val="clear"/>
        <w:spacing w:before="120" w:line="480" w:lineRule="auto"/>
        <w:ind w:left="960"/>
        <w:rPr>
          <w:rFonts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乙方（成交人）：</w:t>
      </w:r>
      <w:r>
        <w:rPr>
          <w:rFonts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u w:val="single"/>
        </w:rPr>
        <w:t xml:space="preserve"> </w:t>
      </w:r>
      <w:r>
        <w:rPr>
          <w:rFonts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u w:val="single"/>
        </w:rPr>
        <w:t xml:space="preserve">                  </w:t>
      </w:r>
    </w:p>
    <w:p w14:paraId="3C1CFEC8">
      <w:pPr>
        <w:shd w:val="clear"/>
        <w:spacing w:before="120" w:line="480" w:lineRule="auto"/>
        <w:ind w:firstLine="960" w:firstLineChars="400"/>
        <w:rPr>
          <w:rFonts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签订地：</w:t>
      </w:r>
      <w:r>
        <w:rPr>
          <w:rFonts w:hint="eastAsia" w:cs="Times New Roman" w:asciiTheme="minorEastAsia" w:hAnsiTheme="minorEastAsia" w:eastAsiaTheme="minorEastAsia"/>
          <w:color w:val="auto"/>
          <w:sz w:val="24"/>
          <w:szCs w:val="24"/>
          <w:highlight w:val="none"/>
          <w:u w:val="single"/>
        </w:rPr>
        <w:t xml:space="preserve">                                     </w:t>
      </w:r>
    </w:p>
    <w:p w14:paraId="17250687">
      <w:pPr>
        <w:shd w:val="clear"/>
        <w:spacing w:before="120" w:line="480" w:lineRule="auto"/>
        <w:ind w:firstLine="960" w:firstLineChars="400"/>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签订日期：</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年</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月</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日</w:t>
      </w:r>
    </w:p>
    <w:p w14:paraId="1B591A4F">
      <w:pPr>
        <w:widowControl/>
        <w:shd w:val="clear"/>
        <w:jc w:val="left"/>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br w:type="page"/>
      </w:r>
    </w:p>
    <w:p w14:paraId="0E3A4080">
      <w:pPr>
        <w:pStyle w:val="21"/>
        <w:shd w:val="clear"/>
        <w:spacing w:line="360" w:lineRule="auto"/>
        <w:rPr>
          <w:rFonts w:hint="eastAsia" w:ascii="仿宋" w:hAnsi="仿宋" w:eastAsia="仿宋" w:cs="仿宋"/>
          <w:color w:val="auto"/>
          <w:sz w:val="20"/>
          <w:szCs w:val="20"/>
          <w:highlight w:val="none"/>
          <w:u w:val="single"/>
        </w:rPr>
      </w:pPr>
      <w:bookmarkStart w:id="45" w:name="_Toc25148"/>
      <w:bookmarkStart w:id="46" w:name="_Toc2430"/>
      <w:r>
        <w:rPr>
          <w:rFonts w:hint="eastAsia" w:ascii="仿宋" w:hAnsi="仿宋" w:eastAsia="仿宋" w:cs="仿宋"/>
          <w:color w:val="auto"/>
          <w:sz w:val="20"/>
          <w:szCs w:val="20"/>
          <w:highlight w:val="none"/>
        </w:rPr>
        <w:t>委托单位（甲方）：</w:t>
      </w:r>
      <w:r>
        <w:rPr>
          <w:rFonts w:hint="eastAsia" w:ascii="仿宋" w:hAnsi="仿宋" w:eastAsia="仿宋" w:cs="仿宋"/>
          <w:color w:val="auto"/>
          <w:sz w:val="20"/>
          <w:szCs w:val="20"/>
          <w:highlight w:val="none"/>
          <w:u w:val="single"/>
        </w:rPr>
        <w:t xml:space="preserve"> </w:t>
      </w:r>
      <w:r>
        <w:rPr>
          <w:rFonts w:hint="eastAsia" w:ascii="仿宋" w:hAnsi="仿宋" w:eastAsia="仿宋" w:cs="仿宋"/>
          <w:color w:val="auto"/>
          <w:sz w:val="20"/>
          <w:szCs w:val="20"/>
          <w:highlight w:val="none"/>
          <w:u w:val="single"/>
          <w:lang w:val="en-US" w:eastAsia="zh-CN"/>
        </w:rPr>
        <w:t xml:space="preserve">                       </w:t>
      </w:r>
      <w:r>
        <w:rPr>
          <w:rFonts w:hint="eastAsia" w:ascii="仿宋" w:hAnsi="仿宋" w:eastAsia="仿宋" w:cs="仿宋"/>
          <w:color w:val="auto"/>
          <w:sz w:val="20"/>
          <w:szCs w:val="20"/>
          <w:highlight w:val="none"/>
          <w:u w:val="single"/>
        </w:rPr>
        <w:t xml:space="preserve"> </w:t>
      </w:r>
    </w:p>
    <w:p w14:paraId="6A82763D">
      <w:pPr>
        <w:shd w:val="clear"/>
        <w:snapToGrid w:val="0"/>
        <w:spacing w:line="360" w:lineRule="auto"/>
        <w:outlineLvl w:val="0"/>
        <w:rPr>
          <w:rFonts w:hint="eastAsia" w:ascii="仿宋" w:hAnsi="仿宋" w:eastAsia="仿宋" w:cs="仿宋"/>
          <w:color w:val="auto"/>
          <w:sz w:val="20"/>
          <w:szCs w:val="20"/>
          <w:highlight w:val="none"/>
          <w:u w:val="single"/>
        </w:rPr>
      </w:pPr>
      <w:r>
        <w:rPr>
          <w:rFonts w:hint="eastAsia" w:ascii="仿宋" w:hAnsi="仿宋" w:eastAsia="仿宋" w:cs="仿宋"/>
          <w:color w:val="auto"/>
          <w:sz w:val="20"/>
          <w:szCs w:val="20"/>
          <w:highlight w:val="none"/>
        </w:rPr>
        <w:t>咨询单位（乙方）：</w:t>
      </w:r>
      <w:r>
        <w:rPr>
          <w:rFonts w:hint="eastAsia" w:ascii="仿宋" w:hAnsi="仿宋" w:eastAsia="仿宋" w:cs="仿宋"/>
          <w:color w:val="auto"/>
          <w:sz w:val="20"/>
          <w:szCs w:val="20"/>
          <w:highlight w:val="none"/>
          <w:u w:val="single"/>
        </w:rPr>
        <w:t xml:space="preserve"> </w:t>
      </w:r>
      <w:r>
        <w:rPr>
          <w:rFonts w:hint="eastAsia" w:ascii="仿宋" w:hAnsi="仿宋" w:eastAsia="仿宋" w:cs="仿宋"/>
          <w:color w:val="auto"/>
          <w:sz w:val="20"/>
          <w:szCs w:val="20"/>
          <w:highlight w:val="none"/>
          <w:u w:val="single"/>
          <w:lang w:val="en-US" w:eastAsia="zh-CN"/>
        </w:rPr>
        <w:t xml:space="preserve">                          </w:t>
      </w:r>
      <w:r>
        <w:rPr>
          <w:rFonts w:hint="eastAsia" w:ascii="仿宋" w:hAnsi="仿宋" w:eastAsia="仿宋" w:cs="仿宋"/>
          <w:color w:val="auto"/>
          <w:sz w:val="20"/>
          <w:szCs w:val="20"/>
          <w:highlight w:val="none"/>
          <w:u w:val="single"/>
        </w:rPr>
        <w:t xml:space="preserve"> </w:t>
      </w:r>
    </w:p>
    <w:p w14:paraId="282D2C2F">
      <w:pPr>
        <w:widowControl/>
        <w:shd w:val="clear"/>
        <w:spacing w:line="360" w:lineRule="auto"/>
        <w:ind w:firstLine="400" w:firstLineChars="200"/>
        <w:jc w:val="left"/>
        <w:rPr>
          <w:rFonts w:hint="eastAsia" w:ascii="仿宋" w:hAnsi="仿宋" w:eastAsia="仿宋" w:cs="仿宋"/>
          <w:color w:val="auto"/>
          <w:sz w:val="20"/>
          <w:szCs w:val="20"/>
          <w:highlight w:val="none"/>
        </w:rPr>
      </w:pPr>
    </w:p>
    <w:p w14:paraId="4E9B80AF">
      <w:pPr>
        <w:widowControl/>
        <w:shd w:val="clear"/>
        <w:spacing w:line="360" w:lineRule="auto"/>
        <w:ind w:firstLine="400" w:firstLineChars="200"/>
        <w:jc w:val="left"/>
        <w:rPr>
          <w:rFonts w:hint="eastAsia" w:ascii="仿宋" w:hAnsi="仿宋" w:eastAsia="仿宋" w:cs="仿宋"/>
          <w:color w:val="auto"/>
          <w:kern w:val="0"/>
          <w:sz w:val="20"/>
          <w:szCs w:val="20"/>
          <w:highlight w:val="none"/>
        </w:rPr>
      </w:pPr>
      <w:r>
        <w:rPr>
          <w:rFonts w:hint="eastAsia" w:ascii="仿宋" w:hAnsi="仿宋" w:eastAsia="仿宋" w:cs="仿宋"/>
          <w:color w:val="auto"/>
          <w:sz w:val="20"/>
          <w:szCs w:val="20"/>
          <w:highlight w:val="none"/>
        </w:rPr>
        <w:t>根据《中华人民共和国</w:t>
      </w:r>
      <w:r>
        <w:rPr>
          <w:rFonts w:hint="eastAsia" w:ascii="仿宋" w:hAnsi="仿宋" w:eastAsia="仿宋" w:cs="仿宋"/>
          <w:color w:val="auto"/>
          <w:sz w:val="20"/>
          <w:szCs w:val="20"/>
          <w:highlight w:val="none"/>
          <w:lang w:val="en-US" w:eastAsia="zh-CN"/>
        </w:rPr>
        <w:t>民法典</w:t>
      </w:r>
      <w:r>
        <w:rPr>
          <w:rFonts w:hint="eastAsia" w:ascii="仿宋" w:hAnsi="仿宋" w:eastAsia="仿宋" w:cs="仿宋"/>
          <w:color w:val="auto"/>
          <w:sz w:val="20"/>
          <w:szCs w:val="20"/>
          <w:highlight w:val="none"/>
        </w:rPr>
        <w:t>》、《中华人民共和国建筑法》和及其它现行有关法律、法规、政策规定，为明确甲乙双方权利和义务，遵循平等、自愿、公平和诚实信用的原则，经协商一致，订立本合同。</w:t>
      </w:r>
    </w:p>
    <w:p w14:paraId="7E4D1E36">
      <w:pPr>
        <w:shd w:val="clear"/>
        <w:tabs>
          <w:tab w:val="left" w:pos="425"/>
          <w:tab w:val="left" w:pos="540"/>
        </w:tabs>
        <w:spacing w:line="360" w:lineRule="auto"/>
        <w:ind w:left="425" w:hanging="425"/>
        <w:jc w:val="left"/>
        <w:rPr>
          <w:rFonts w:hint="eastAsia" w:ascii="仿宋" w:hAnsi="仿宋" w:eastAsia="仿宋" w:cs="仿宋"/>
          <w:b/>
          <w:color w:val="auto"/>
          <w:sz w:val="20"/>
          <w:szCs w:val="20"/>
          <w:highlight w:val="none"/>
        </w:rPr>
      </w:pPr>
      <w:r>
        <w:rPr>
          <w:rFonts w:hint="eastAsia" w:ascii="仿宋" w:hAnsi="仿宋" w:eastAsia="仿宋" w:cs="仿宋"/>
          <w:b/>
          <w:color w:val="auto"/>
          <w:sz w:val="20"/>
          <w:szCs w:val="20"/>
          <w:highlight w:val="none"/>
        </w:rPr>
        <w:t>1．项目概述</w:t>
      </w:r>
    </w:p>
    <w:p w14:paraId="71CB3419">
      <w:pPr>
        <w:keepNext w:val="0"/>
        <w:keepLines w:val="0"/>
        <w:pageBreakBefore w:val="0"/>
        <w:widowControl w:val="0"/>
        <w:shd w:val="clear"/>
        <w:tabs>
          <w:tab w:val="left" w:pos="993"/>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1.1项目名称：                                              </w:t>
      </w:r>
    </w:p>
    <w:p w14:paraId="7D283AE5">
      <w:pPr>
        <w:keepNext w:val="0"/>
        <w:keepLines w:val="0"/>
        <w:pageBreakBefore w:val="0"/>
        <w:widowControl w:val="0"/>
        <w:shd w:val="clear"/>
        <w:tabs>
          <w:tab w:val="left" w:pos="993"/>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1.2项目地点：                                              </w:t>
      </w:r>
    </w:p>
    <w:p w14:paraId="646E7C43">
      <w:pPr>
        <w:keepNext w:val="0"/>
        <w:keepLines w:val="0"/>
        <w:pageBreakBefore w:val="0"/>
        <w:widowControl w:val="0"/>
        <w:shd w:val="clear"/>
        <w:tabs>
          <w:tab w:val="left" w:pos="993"/>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1.3项目规模：</w:t>
      </w:r>
      <w:r>
        <w:rPr>
          <w:rFonts w:hint="eastAsia" w:ascii="仿宋" w:hAnsi="仿宋" w:eastAsia="仿宋" w:cs="仿宋"/>
          <w:color w:val="auto"/>
          <w:sz w:val="20"/>
          <w:szCs w:val="20"/>
          <w:highlight w:val="none"/>
          <w:lang w:val="en-US" w:eastAsia="zh-CN"/>
        </w:rPr>
        <w:t xml:space="preserve">   </w:t>
      </w:r>
      <w:r>
        <w:rPr>
          <w:rFonts w:hint="eastAsia" w:ascii="仿宋" w:hAnsi="仿宋" w:eastAsia="仿宋" w:cs="仿宋"/>
          <w:color w:val="auto"/>
          <w:sz w:val="20"/>
          <w:szCs w:val="20"/>
          <w:highlight w:val="none"/>
        </w:rPr>
        <w:t xml:space="preserve">                                             </w:t>
      </w:r>
    </w:p>
    <w:p w14:paraId="0C47A3B8">
      <w:pPr>
        <w:keepNext w:val="0"/>
        <w:keepLines w:val="0"/>
        <w:pageBreakBefore w:val="0"/>
        <w:widowControl w:val="0"/>
        <w:shd w:val="clear"/>
        <w:tabs>
          <w:tab w:val="left" w:pos="993"/>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1.4项目概况：</w:t>
      </w:r>
      <w:r>
        <w:rPr>
          <w:rFonts w:hint="eastAsia" w:ascii="仿宋" w:hAnsi="仿宋" w:eastAsia="仿宋" w:cs="仿宋"/>
          <w:color w:val="auto"/>
          <w:sz w:val="20"/>
          <w:szCs w:val="20"/>
          <w:highlight w:val="none"/>
          <w:lang w:val="en-US" w:eastAsia="zh-CN"/>
        </w:rPr>
        <w:t xml:space="preserve">   </w:t>
      </w:r>
      <w:r>
        <w:rPr>
          <w:rFonts w:hint="eastAsia" w:ascii="仿宋" w:hAnsi="仿宋" w:eastAsia="仿宋" w:cs="仿宋"/>
          <w:color w:val="auto"/>
          <w:sz w:val="20"/>
          <w:szCs w:val="20"/>
          <w:highlight w:val="none"/>
        </w:rPr>
        <w:t xml:space="preserve">                                            </w:t>
      </w:r>
    </w:p>
    <w:p w14:paraId="09D407D7">
      <w:pPr>
        <w:keepNext w:val="0"/>
        <w:keepLines w:val="0"/>
        <w:pageBreakBefore w:val="0"/>
        <w:widowControl w:val="0"/>
        <w:shd w:val="clear"/>
        <w:kinsoku/>
        <w:wordWrap/>
        <w:overflowPunct/>
        <w:topLinePunct w:val="0"/>
        <w:autoSpaceDE/>
        <w:autoSpaceDN/>
        <w:bidi w:val="0"/>
        <w:adjustRightInd/>
        <w:spacing w:line="360" w:lineRule="auto"/>
        <w:ind w:firstLine="400" w:firstLineChars="200"/>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w:t>
      </w:r>
      <w:r>
        <w:rPr>
          <w:rFonts w:hint="eastAsia" w:ascii="仿宋" w:hAnsi="仿宋" w:eastAsia="仿宋" w:cs="仿宋"/>
          <w:color w:val="auto"/>
          <w:sz w:val="20"/>
          <w:szCs w:val="20"/>
          <w:highlight w:val="none"/>
        </w:rPr>
        <w:tab/>
      </w:r>
      <w:r>
        <w:rPr>
          <w:rFonts w:hint="eastAsia" w:ascii="仿宋" w:hAnsi="仿宋" w:eastAsia="仿宋" w:cs="仿宋"/>
          <w:color w:val="auto"/>
          <w:sz w:val="20"/>
          <w:szCs w:val="20"/>
          <w:highlight w:val="none"/>
        </w:rPr>
        <w:t xml:space="preserve">项目工期：                     </w:t>
      </w:r>
    </w:p>
    <w:p w14:paraId="420A1163">
      <w:pPr>
        <w:shd w:val="clear"/>
        <w:tabs>
          <w:tab w:val="left" w:pos="425"/>
          <w:tab w:val="left" w:pos="540"/>
        </w:tabs>
        <w:spacing w:line="360" w:lineRule="auto"/>
        <w:ind w:left="425" w:hanging="425"/>
        <w:jc w:val="left"/>
        <w:rPr>
          <w:rFonts w:hint="eastAsia" w:ascii="仿宋" w:hAnsi="仿宋" w:eastAsia="仿宋" w:cs="仿宋"/>
          <w:b/>
          <w:color w:val="auto"/>
          <w:sz w:val="20"/>
          <w:szCs w:val="20"/>
          <w:highlight w:val="none"/>
        </w:rPr>
      </w:pPr>
      <w:r>
        <w:rPr>
          <w:rFonts w:hint="eastAsia" w:ascii="仿宋" w:hAnsi="仿宋" w:eastAsia="仿宋" w:cs="仿宋"/>
          <w:b/>
          <w:color w:val="auto"/>
          <w:sz w:val="20"/>
          <w:szCs w:val="20"/>
          <w:highlight w:val="none"/>
        </w:rPr>
        <w:t>2.</w:t>
      </w:r>
      <w:r>
        <w:rPr>
          <w:rFonts w:hint="eastAsia" w:ascii="仿宋" w:hAnsi="仿宋" w:eastAsia="仿宋" w:cs="仿宋"/>
          <w:b/>
          <w:color w:val="auto"/>
          <w:sz w:val="20"/>
          <w:szCs w:val="20"/>
          <w:highlight w:val="none"/>
        </w:rPr>
        <w:tab/>
      </w:r>
      <w:r>
        <w:rPr>
          <w:rFonts w:hint="eastAsia" w:ascii="仿宋" w:hAnsi="仿宋" w:eastAsia="仿宋" w:cs="仿宋"/>
          <w:b/>
          <w:color w:val="auto"/>
          <w:sz w:val="20"/>
          <w:szCs w:val="20"/>
          <w:highlight w:val="none"/>
        </w:rPr>
        <w:t>造价咨询服务内容</w:t>
      </w:r>
    </w:p>
    <w:p w14:paraId="536BE78B">
      <w:pPr>
        <w:shd w:val="clear"/>
        <w:spacing w:line="360" w:lineRule="auto"/>
        <w:ind w:left="425"/>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2.1服务范围包括：全过程造价服务。包括但不限于规划方案、施工图设计、施工阶段、结算阶段范围内全部工程内容的全过程造价咨询服务。</w:t>
      </w:r>
    </w:p>
    <w:p w14:paraId="1683B9F0">
      <w:pPr>
        <w:shd w:val="clear"/>
        <w:spacing w:line="360" w:lineRule="auto"/>
        <w:ind w:left="425"/>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①方案设计阶段:</w:t>
      </w:r>
    </w:p>
    <w:p w14:paraId="5264050C">
      <w:pPr>
        <w:shd w:val="clear"/>
        <w:spacing w:line="360" w:lineRule="auto"/>
        <w:ind w:left="425"/>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负责验证方案经济性指标；负责提供方案比选建议。</w:t>
      </w:r>
    </w:p>
    <w:p w14:paraId="2A54FC12">
      <w:pPr>
        <w:shd w:val="clear"/>
        <w:spacing w:line="360" w:lineRule="auto"/>
        <w:ind w:left="425"/>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②施工图设计前期阶段：</w:t>
      </w:r>
    </w:p>
    <w:p w14:paraId="018EC642">
      <w:pPr>
        <w:shd w:val="clear"/>
        <w:spacing w:line="360" w:lineRule="auto"/>
        <w:ind w:left="425"/>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负责测算结构设计指标；负责与标杆企业建造标准对标；参与图纸会审，对图纸进行前置把关。</w:t>
      </w:r>
    </w:p>
    <w:p w14:paraId="42FAC29F">
      <w:pPr>
        <w:shd w:val="clear"/>
        <w:spacing w:line="360" w:lineRule="auto"/>
        <w:ind w:left="425"/>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③施工图设计阶段</w:t>
      </w:r>
    </w:p>
    <w:p w14:paraId="738F5EAF">
      <w:pPr>
        <w:shd w:val="clear"/>
        <w:spacing w:line="360" w:lineRule="auto"/>
        <w:ind w:left="425"/>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负责施工图总承包预算编制，出具建设方项目造价控制方案；</w:t>
      </w:r>
    </w:p>
    <w:p w14:paraId="7F04E8DE">
      <w:pPr>
        <w:shd w:val="clear"/>
        <w:spacing w:line="360" w:lineRule="auto"/>
        <w:ind w:left="425"/>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④施工阶段：</w:t>
      </w:r>
    </w:p>
    <w:p w14:paraId="2A79B2B1">
      <w:pPr>
        <w:shd w:val="clear"/>
        <w:spacing w:line="360" w:lineRule="auto"/>
        <w:ind w:left="425"/>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总承包施工图预算核对；变更、签证审核；现场返工、隐蔽工程量收方、现场履约管理，成本资料管理，成本巡检；进度款审核；零星核价、认质认价。</w:t>
      </w:r>
    </w:p>
    <w:p w14:paraId="6538BF2A">
      <w:pPr>
        <w:shd w:val="clear"/>
        <w:spacing w:line="360" w:lineRule="auto"/>
        <w:ind w:left="425"/>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rPr>
        <w:t>⑤竣工结算阶段：参加总分包竣工验收；</w:t>
      </w:r>
      <w:r>
        <w:rPr>
          <w:rFonts w:hint="eastAsia" w:ascii="仿宋" w:hAnsi="仿宋" w:eastAsia="仿宋" w:cs="仿宋"/>
          <w:color w:val="auto"/>
          <w:sz w:val="20"/>
          <w:szCs w:val="20"/>
          <w:highlight w:val="none"/>
          <w:lang w:eastAsia="zh-CN"/>
        </w:rPr>
        <w:t>施工</w:t>
      </w:r>
      <w:r>
        <w:rPr>
          <w:rFonts w:hint="eastAsia" w:ascii="仿宋" w:hAnsi="仿宋" w:eastAsia="仿宋" w:cs="仿宋"/>
          <w:color w:val="auto"/>
          <w:sz w:val="20"/>
          <w:szCs w:val="20"/>
          <w:highlight w:val="none"/>
        </w:rPr>
        <w:t>总承包及分包合同一审结算、配合二审核对及主管部门审计结束。</w:t>
      </w:r>
    </w:p>
    <w:p w14:paraId="2A5A6AAA">
      <w:pPr>
        <w:shd w:val="clear"/>
        <w:tabs>
          <w:tab w:val="left" w:pos="993"/>
        </w:tabs>
        <w:snapToGrid w:val="0"/>
        <w:spacing w:line="360" w:lineRule="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2.2其他约定：                                                    </w:t>
      </w:r>
    </w:p>
    <w:p w14:paraId="3B9E1BB9">
      <w:pPr>
        <w:shd w:val="clear"/>
        <w:spacing w:line="360" w:lineRule="auto"/>
        <w:ind w:firstLine="300" w:firstLineChars="15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以上委托内容，甲方可根据项目实际情况进行调整，有权取消部分委托服务内容，相关费用在过程付款和结算时从合同总价中扣除，乙方不得提出任何疑义和索赔。不管任何原因，如果合同实施中，乙方未作部分的分项工作内容所对应的服务费甲方有权在结算款中扣除，乙方不得向甲方索赔任何费用。</w:t>
      </w:r>
    </w:p>
    <w:p w14:paraId="2BF8CD6F">
      <w:pPr>
        <w:shd w:val="clear"/>
        <w:tabs>
          <w:tab w:val="left" w:pos="425"/>
          <w:tab w:val="left" w:pos="540"/>
        </w:tabs>
        <w:spacing w:line="360" w:lineRule="auto"/>
        <w:ind w:left="425" w:hanging="425"/>
        <w:jc w:val="left"/>
        <w:rPr>
          <w:rFonts w:hint="eastAsia" w:ascii="仿宋" w:hAnsi="仿宋" w:eastAsia="仿宋" w:cs="仿宋"/>
          <w:b/>
          <w:color w:val="auto"/>
          <w:sz w:val="20"/>
          <w:szCs w:val="20"/>
          <w:highlight w:val="none"/>
        </w:rPr>
      </w:pPr>
      <w:r>
        <w:rPr>
          <w:rFonts w:hint="eastAsia" w:ascii="仿宋" w:hAnsi="仿宋" w:eastAsia="仿宋" w:cs="仿宋"/>
          <w:b/>
          <w:color w:val="auto"/>
          <w:sz w:val="20"/>
          <w:szCs w:val="20"/>
          <w:highlight w:val="none"/>
        </w:rPr>
        <w:t>3.</w:t>
      </w:r>
      <w:r>
        <w:rPr>
          <w:rFonts w:hint="eastAsia" w:ascii="仿宋" w:hAnsi="仿宋" w:eastAsia="仿宋" w:cs="仿宋"/>
          <w:b/>
          <w:color w:val="auto"/>
          <w:sz w:val="20"/>
          <w:szCs w:val="20"/>
          <w:highlight w:val="none"/>
        </w:rPr>
        <w:tab/>
      </w:r>
      <w:r>
        <w:rPr>
          <w:rFonts w:hint="eastAsia" w:ascii="仿宋" w:hAnsi="仿宋" w:eastAsia="仿宋" w:cs="仿宋"/>
          <w:b/>
          <w:color w:val="auto"/>
          <w:sz w:val="20"/>
          <w:szCs w:val="20"/>
          <w:highlight w:val="none"/>
        </w:rPr>
        <w:t>造价咨询费及支付方式</w:t>
      </w:r>
    </w:p>
    <w:p w14:paraId="4005120E">
      <w:pPr>
        <w:keepNext w:val="0"/>
        <w:keepLines w:val="0"/>
        <w:pageBreakBefore w:val="0"/>
        <w:widowControl w:val="0"/>
        <w:shd w:val="clear"/>
        <w:tabs>
          <w:tab w:val="left" w:pos="1145"/>
        </w:tabs>
        <w:kinsoku/>
        <w:wordWrap/>
        <w:overflowPunct/>
        <w:topLinePunct w:val="0"/>
        <w:autoSpaceDE/>
        <w:autoSpaceDN/>
        <w:bidi w:val="0"/>
        <w:adjustRightInd/>
        <w:snapToGrid/>
        <w:spacing w:line="360" w:lineRule="auto"/>
        <w:ind w:firstLine="402" w:firstLineChars="200"/>
        <w:textAlignment w:val="auto"/>
        <w:rPr>
          <w:rFonts w:hint="eastAsia" w:ascii="仿宋" w:hAnsi="仿宋" w:eastAsia="仿宋" w:cs="仿宋"/>
          <w:color w:val="auto"/>
          <w:sz w:val="20"/>
          <w:szCs w:val="20"/>
          <w:highlight w:val="none"/>
        </w:rPr>
      </w:pPr>
      <w:r>
        <w:rPr>
          <w:rFonts w:hint="eastAsia" w:ascii="仿宋" w:hAnsi="仿宋" w:eastAsia="仿宋" w:cs="仿宋"/>
          <w:b/>
          <w:color w:val="auto"/>
          <w:sz w:val="20"/>
          <w:szCs w:val="20"/>
          <w:highlight w:val="none"/>
        </w:rPr>
        <w:t>3.1</w:t>
      </w:r>
      <w:r>
        <w:rPr>
          <w:rFonts w:hint="eastAsia" w:ascii="仿宋" w:hAnsi="仿宋" w:eastAsia="仿宋" w:cs="仿宋"/>
          <w:color w:val="auto"/>
          <w:sz w:val="20"/>
          <w:szCs w:val="20"/>
          <w:highlight w:val="none"/>
        </w:rPr>
        <w:t>合同（暂定）总价（含增值税销项税额，以下简称“合同总价”）为人民币（大写）</w:t>
      </w:r>
      <w:r>
        <w:rPr>
          <w:rFonts w:hint="eastAsia" w:ascii="仿宋" w:hAnsi="仿宋" w:eastAsia="仿宋" w:cs="仿宋"/>
          <w:color w:val="auto"/>
          <w:sz w:val="20"/>
          <w:szCs w:val="20"/>
          <w:highlight w:val="none"/>
          <w:u w:val="single"/>
        </w:rPr>
        <w:t xml:space="preserve">       </w:t>
      </w:r>
      <w:r>
        <w:rPr>
          <w:rFonts w:hint="eastAsia" w:ascii="仿宋" w:hAnsi="仿宋" w:eastAsia="仿宋" w:cs="仿宋"/>
          <w:color w:val="auto"/>
          <w:sz w:val="20"/>
          <w:szCs w:val="20"/>
          <w:highlight w:val="none"/>
        </w:rPr>
        <w:t>元（RMB￥</w:t>
      </w:r>
      <w:r>
        <w:rPr>
          <w:rFonts w:hint="eastAsia" w:ascii="仿宋" w:hAnsi="仿宋" w:eastAsia="仿宋" w:cs="仿宋"/>
          <w:color w:val="auto"/>
          <w:sz w:val="20"/>
          <w:szCs w:val="20"/>
          <w:highlight w:val="none"/>
          <w:u w:val="single"/>
        </w:rPr>
        <w:t xml:space="preserve">      </w:t>
      </w:r>
      <w:r>
        <w:rPr>
          <w:rFonts w:hint="eastAsia" w:ascii="仿宋" w:hAnsi="仿宋" w:eastAsia="仿宋" w:cs="仿宋"/>
          <w:color w:val="auto"/>
          <w:sz w:val="20"/>
          <w:szCs w:val="20"/>
          <w:highlight w:val="none"/>
        </w:rPr>
        <w:t>元），增值税税率/征收率为【XX%】，其中不含税价为人民币（大写）       元（RMB￥</w:t>
      </w:r>
      <w:r>
        <w:rPr>
          <w:rFonts w:hint="eastAsia" w:ascii="仿宋" w:hAnsi="仿宋" w:eastAsia="仿宋" w:cs="仿宋"/>
          <w:color w:val="auto"/>
          <w:sz w:val="20"/>
          <w:szCs w:val="20"/>
          <w:highlight w:val="none"/>
          <w:u w:val="single"/>
        </w:rPr>
        <w:t xml:space="preserve">      </w:t>
      </w:r>
      <w:r>
        <w:rPr>
          <w:rFonts w:hint="eastAsia" w:ascii="仿宋" w:hAnsi="仿宋" w:eastAsia="仿宋" w:cs="仿宋"/>
          <w:color w:val="auto"/>
          <w:sz w:val="20"/>
          <w:szCs w:val="20"/>
          <w:highlight w:val="none"/>
        </w:rPr>
        <w:t>元），增值税额为人民币（大写）</w:t>
      </w:r>
      <w:r>
        <w:rPr>
          <w:rFonts w:hint="eastAsia" w:ascii="仿宋" w:hAnsi="仿宋" w:eastAsia="仿宋" w:cs="仿宋"/>
          <w:color w:val="auto"/>
          <w:sz w:val="20"/>
          <w:szCs w:val="20"/>
          <w:highlight w:val="none"/>
          <w:u w:val="single"/>
        </w:rPr>
        <w:t xml:space="preserve">       </w:t>
      </w:r>
      <w:r>
        <w:rPr>
          <w:rFonts w:hint="eastAsia" w:ascii="仿宋" w:hAnsi="仿宋" w:eastAsia="仿宋" w:cs="仿宋"/>
          <w:color w:val="auto"/>
          <w:sz w:val="20"/>
          <w:szCs w:val="20"/>
          <w:highlight w:val="none"/>
        </w:rPr>
        <w:t>元（RMB￥</w:t>
      </w:r>
      <w:r>
        <w:rPr>
          <w:rFonts w:hint="eastAsia" w:ascii="仿宋" w:hAnsi="仿宋" w:eastAsia="仿宋" w:cs="仿宋"/>
          <w:color w:val="auto"/>
          <w:sz w:val="20"/>
          <w:szCs w:val="20"/>
          <w:highlight w:val="none"/>
          <w:u w:val="single"/>
        </w:rPr>
        <w:t xml:space="preserve">      </w:t>
      </w:r>
      <w:r>
        <w:rPr>
          <w:rFonts w:hint="eastAsia" w:ascii="仿宋" w:hAnsi="仿宋" w:eastAsia="仿宋" w:cs="仿宋"/>
          <w:color w:val="auto"/>
          <w:sz w:val="20"/>
          <w:szCs w:val="20"/>
          <w:highlight w:val="none"/>
        </w:rPr>
        <w:t>元）。合同（暂定）总价中基本服务费</w:t>
      </w:r>
      <w:r>
        <w:rPr>
          <w:rFonts w:hint="eastAsia" w:ascii="仿宋" w:hAnsi="仿宋" w:eastAsia="仿宋" w:cs="仿宋"/>
          <w:color w:val="auto"/>
          <w:sz w:val="20"/>
          <w:szCs w:val="20"/>
          <w:highlight w:val="none"/>
          <w:u w:val="single"/>
        </w:rPr>
        <w:t xml:space="preserve">             </w:t>
      </w:r>
      <w:r>
        <w:rPr>
          <w:rFonts w:hint="eastAsia" w:ascii="仿宋" w:hAnsi="仿宋" w:eastAsia="仿宋" w:cs="仿宋"/>
          <w:color w:val="auto"/>
          <w:sz w:val="20"/>
          <w:szCs w:val="20"/>
          <w:highlight w:val="none"/>
        </w:rPr>
        <w:t>元，精装修增加费用(如有）             元。</w:t>
      </w:r>
    </w:p>
    <w:p w14:paraId="68D472B5">
      <w:pPr>
        <w:keepNext w:val="0"/>
        <w:keepLines w:val="0"/>
        <w:pageBreakBefore w:val="0"/>
        <w:widowControl w:val="0"/>
        <w:shd w:val="clear"/>
        <w:tabs>
          <w:tab w:val="left" w:pos="1145"/>
        </w:tabs>
        <w:kinsoku/>
        <w:wordWrap/>
        <w:overflowPunct/>
        <w:topLinePunct w:val="0"/>
        <w:autoSpaceDE/>
        <w:autoSpaceDN/>
        <w:bidi w:val="0"/>
        <w:adjustRightInd/>
        <w:snapToGrid/>
        <w:spacing w:line="360" w:lineRule="auto"/>
        <w:ind w:firstLine="400" w:firstLineChars="200"/>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因业主方项目运营节奏变化导致的延期方可计入延期驻场费用，延期驻场费用计算：按月计算，根据运营确定的延期驻场时间计算：延期驻场总费用=延期确定月数*贰万元；驻场人员最终撤场后不再另行计取现场咨询费，后期结算工作应保质保量完成。</w:t>
      </w:r>
    </w:p>
    <w:p w14:paraId="69405800">
      <w:pPr>
        <w:keepNext w:val="0"/>
        <w:keepLines w:val="0"/>
        <w:pageBreakBefore w:val="0"/>
        <w:widowControl w:val="0"/>
        <w:shd w:val="clear"/>
        <w:tabs>
          <w:tab w:val="left" w:pos="1145"/>
        </w:tabs>
        <w:kinsoku/>
        <w:wordWrap/>
        <w:overflowPunct/>
        <w:topLinePunct w:val="0"/>
        <w:autoSpaceDE/>
        <w:autoSpaceDN/>
        <w:bidi w:val="0"/>
        <w:adjustRightInd/>
        <w:snapToGrid/>
        <w:spacing w:line="360" w:lineRule="auto"/>
        <w:ind w:firstLine="400" w:firstLineChars="200"/>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咨询服务费包括本项目所需的驻场咨询团队及咨询公司后台的人员薪资福利、办公费用、管理费用、各种税费等为完成本合同所要求的全部工作，以及完成所有这些工作须由乙方聘请的其他工程师或咨询顾问而产生的一切费用。</w:t>
      </w:r>
    </w:p>
    <w:p w14:paraId="34F48063">
      <w:pPr>
        <w:shd w:val="clear"/>
        <w:tabs>
          <w:tab w:val="left" w:pos="1145"/>
        </w:tabs>
        <w:spacing w:line="360" w:lineRule="auto"/>
        <w:jc w:val="left"/>
        <w:rPr>
          <w:rFonts w:hint="eastAsia" w:ascii="仿宋" w:hAnsi="仿宋" w:eastAsia="仿宋" w:cs="仿宋"/>
          <w:b/>
          <w:color w:val="auto"/>
          <w:sz w:val="20"/>
          <w:szCs w:val="20"/>
          <w:highlight w:val="none"/>
        </w:rPr>
      </w:pPr>
      <w:r>
        <w:rPr>
          <w:rFonts w:hint="eastAsia" w:ascii="仿宋" w:hAnsi="仿宋" w:eastAsia="仿宋" w:cs="仿宋"/>
          <w:b/>
          <w:color w:val="auto"/>
          <w:sz w:val="20"/>
          <w:szCs w:val="20"/>
          <w:highlight w:val="none"/>
        </w:rPr>
        <w:t>3.</w:t>
      </w:r>
      <w:r>
        <w:rPr>
          <w:rFonts w:hint="eastAsia" w:ascii="仿宋" w:hAnsi="仿宋" w:eastAsia="仿宋" w:cs="仿宋"/>
          <w:b/>
          <w:color w:val="auto"/>
          <w:sz w:val="20"/>
          <w:szCs w:val="20"/>
          <w:highlight w:val="none"/>
          <w:lang w:val="en-US" w:eastAsia="zh-CN"/>
        </w:rPr>
        <w:t>2</w:t>
      </w:r>
      <w:r>
        <w:rPr>
          <w:rFonts w:hint="eastAsia" w:ascii="仿宋" w:hAnsi="仿宋" w:eastAsia="仿宋" w:cs="仿宋"/>
          <w:b/>
          <w:color w:val="auto"/>
          <w:sz w:val="20"/>
          <w:szCs w:val="20"/>
          <w:highlight w:val="none"/>
        </w:rPr>
        <w:t xml:space="preserve">计价与计量 </w:t>
      </w:r>
    </w:p>
    <w:p w14:paraId="5778D309">
      <w:pPr>
        <w:keepNext w:val="0"/>
        <w:keepLines w:val="0"/>
        <w:pageBreakBefore w:val="0"/>
        <w:widowControl w:val="0"/>
        <w:shd w:val="clear"/>
        <w:tabs>
          <w:tab w:val="left" w:pos="1145"/>
        </w:tabs>
        <w:kinsoku/>
        <w:wordWrap/>
        <w:overflowPunct/>
        <w:topLinePunct w:val="0"/>
        <w:autoSpaceDE/>
        <w:autoSpaceDN/>
        <w:bidi w:val="0"/>
        <w:adjustRightInd/>
        <w:snapToGrid/>
        <w:spacing w:line="360" w:lineRule="auto"/>
        <w:ind w:firstLine="400" w:firstLineChars="20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rPr>
        <w:t>3.</w:t>
      </w:r>
      <w:r>
        <w:rPr>
          <w:rFonts w:hint="eastAsia" w:ascii="仿宋" w:hAnsi="仿宋" w:eastAsia="仿宋" w:cs="仿宋"/>
          <w:color w:val="auto"/>
          <w:sz w:val="20"/>
          <w:szCs w:val="20"/>
          <w:highlight w:val="none"/>
          <w:lang w:val="en-US" w:eastAsia="zh-CN"/>
        </w:rPr>
        <w:t>2</w:t>
      </w:r>
      <w:r>
        <w:rPr>
          <w:rFonts w:hint="eastAsia" w:ascii="仿宋" w:hAnsi="仿宋" w:eastAsia="仿宋" w:cs="仿宋"/>
          <w:color w:val="auto"/>
          <w:sz w:val="20"/>
          <w:szCs w:val="20"/>
          <w:highlight w:val="none"/>
        </w:rPr>
        <w:t>.1工程量计算规则及计价方法：以建筑面积“平方”为单位综合单价包干，建筑面积暂定，最终结算面积以项目建设工程规划许可证面积为准。</w:t>
      </w:r>
    </w:p>
    <w:p w14:paraId="2FF4FBBE">
      <w:pPr>
        <w:keepNext w:val="0"/>
        <w:keepLines w:val="0"/>
        <w:pageBreakBefore w:val="0"/>
        <w:widowControl w:val="0"/>
        <w:shd w:val="clear"/>
        <w:tabs>
          <w:tab w:val="left" w:pos="1145"/>
        </w:tabs>
        <w:kinsoku/>
        <w:wordWrap/>
        <w:overflowPunct/>
        <w:topLinePunct w:val="0"/>
        <w:autoSpaceDE/>
        <w:autoSpaceDN/>
        <w:bidi w:val="0"/>
        <w:adjustRightInd/>
        <w:snapToGrid/>
        <w:spacing w:line="360" w:lineRule="auto"/>
        <w:ind w:firstLine="400" w:firstLineChars="20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rPr>
        <w:t>3.</w:t>
      </w:r>
      <w:r>
        <w:rPr>
          <w:rFonts w:hint="eastAsia" w:ascii="仿宋" w:hAnsi="仿宋" w:eastAsia="仿宋" w:cs="仿宋"/>
          <w:color w:val="auto"/>
          <w:sz w:val="20"/>
          <w:szCs w:val="20"/>
          <w:highlight w:val="none"/>
          <w:lang w:val="en-US" w:eastAsia="zh-CN"/>
        </w:rPr>
        <w:t>2</w:t>
      </w:r>
      <w:r>
        <w:rPr>
          <w:rFonts w:hint="eastAsia" w:ascii="仿宋" w:hAnsi="仿宋" w:eastAsia="仿宋" w:cs="仿宋"/>
          <w:color w:val="auto"/>
          <w:sz w:val="20"/>
          <w:szCs w:val="20"/>
          <w:highlight w:val="none"/>
        </w:rPr>
        <w:t>.2咨询合同结算=</w:t>
      </w:r>
      <w:r>
        <w:rPr>
          <w:rFonts w:hint="eastAsia" w:ascii="仿宋" w:hAnsi="仿宋" w:eastAsia="仿宋" w:cs="仿宋"/>
          <w:color w:val="auto"/>
          <w:sz w:val="20"/>
          <w:szCs w:val="20"/>
          <w:highlight w:val="none"/>
          <w:lang w:val="en-US" w:eastAsia="zh-CN"/>
        </w:rPr>
        <w:t>建设工程规划许可证面积</w:t>
      </w:r>
      <w:r>
        <w:rPr>
          <w:rFonts w:hint="eastAsia" w:ascii="仿宋" w:hAnsi="仿宋" w:eastAsia="仿宋" w:cs="仿宋"/>
          <w:color w:val="auto"/>
          <w:sz w:val="20"/>
          <w:szCs w:val="20"/>
          <w:highlight w:val="none"/>
        </w:rPr>
        <w:t>*固定含税综合单价-违约金+其他</w:t>
      </w:r>
    </w:p>
    <w:p w14:paraId="62E2A156">
      <w:pPr>
        <w:keepNext w:val="0"/>
        <w:keepLines w:val="0"/>
        <w:pageBreakBefore w:val="0"/>
        <w:widowControl w:val="0"/>
        <w:shd w:val="clear"/>
        <w:tabs>
          <w:tab w:val="left" w:pos="1440"/>
        </w:tabs>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color w:val="auto"/>
          <w:sz w:val="20"/>
          <w:szCs w:val="20"/>
          <w:highlight w:val="none"/>
          <w:u w:val="single"/>
        </w:rPr>
      </w:pPr>
      <w:r>
        <w:rPr>
          <w:rFonts w:hint="eastAsia" w:ascii="仿宋" w:hAnsi="仿宋" w:eastAsia="仿宋" w:cs="仿宋"/>
          <w:color w:val="auto"/>
          <w:sz w:val="20"/>
          <w:szCs w:val="20"/>
          <w:highlight w:val="none"/>
        </w:rPr>
        <w:t>3.</w:t>
      </w:r>
      <w:r>
        <w:rPr>
          <w:rFonts w:hint="eastAsia" w:ascii="仿宋" w:hAnsi="仿宋" w:eastAsia="仿宋" w:cs="仿宋"/>
          <w:color w:val="auto"/>
          <w:sz w:val="20"/>
          <w:szCs w:val="20"/>
          <w:highlight w:val="none"/>
          <w:lang w:val="en-US" w:eastAsia="zh-CN"/>
        </w:rPr>
        <w:t>2</w:t>
      </w:r>
      <w:r>
        <w:rPr>
          <w:rFonts w:hint="eastAsia" w:ascii="仿宋" w:hAnsi="仿宋" w:eastAsia="仿宋" w:cs="仿宋"/>
          <w:color w:val="auto"/>
          <w:sz w:val="20"/>
          <w:szCs w:val="20"/>
          <w:highlight w:val="none"/>
        </w:rPr>
        <w:t>.3其他约定</w:t>
      </w:r>
      <w:r>
        <w:rPr>
          <w:rFonts w:hint="eastAsia" w:ascii="仿宋" w:hAnsi="仿宋" w:eastAsia="仿宋" w:cs="仿宋"/>
          <w:color w:val="auto"/>
          <w:sz w:val="20"/>
          <w:szCs w:val="20"/>
          <w:highlight w:val="none"/>
          <w:u w:val="single"/>
        </w:rPr>
        <w:t xml:space="preserve">：  /   </w:t>
      </w:r>
    </w:p>
    <w:p w14:paraId="5380973B">
      <w:pPr>
        <w:keepNext w:val="0"/>
        <w:keepLines w:val="0"/>
        <w:pageBreakBefore w:val="0"/>
        <w:widowControl w:val="0"/>
        <w:shd w:val="clear"/>
        <w:tabs>
          <w:tab w:val="left" w:pos="1440"/>
        </w:tabs>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3.</w:t>
      </w:r>
      <w:r>
        <w:rPr>
          <w:rFonts w:hint="eastAsia" w:ascii="仿宋" w:hAnsi="仿宋" w:eastAsia="仿宋" w:cs="仿宋"/>
          <w:b/>
          <w:bCs/>
          <w:color w:val="auto"/>
          <w:sz w:val="20"/>
          <w:szCs w:val="20"/>
          <w:highlight w:val="none"/>
          <w:lang w:val="en-US" w:eastAsia="zh-CN"/>
        </w:rPr>
        <w:t>3</w:t>
      </w:r>
      <w:r>
        <w:rPr>
          <w:rFonts w:hint="eastAsia" w:ascii="仿宋" w:hAnsi="仿宋" w:eastAsia="仿宋" w:cs="仿宋"/>
          <w:b/>
          <w:bCs/>
          <w:color w:val="auto"/>
          <w:sz w:val="20"/>
          <w:szCs w:val="20"/>
          <w:highlight w:val="none"/>
        </w:rPr>
        <w:t>付款</w:t>
      </w:r>
      <w:r>
        <w:rPr>
          <w:rFonts w:hint="eastAsia" w:ascii="仿宋" w:hAnsi="仿宋" w:eastAsia="仿宋" w:cs="仿宋"/>
          <w:b/>
          <w:bCs/>
          <w:color w:val="auto"/>
          <w:sz w:val="20"/>
          <w:szCs w:val="20"/>
          <w:highlight w:val="none"/>
          <w:lang w:val="en-US" w:eastAsia="zh-CN"/>
        </w:rPr>
        <w:t>方式</w:t>
      </w:r>
      <w:r>
        <w:rPr>
          <w:rFonts w:hint="eastAsia" w:ascii="仿宋" w:hAnsi="仿宋" w:eastAsia="仿宋" w:cs="仿宋"/>
          <w:b/>
          <w:bCs/>
          <w:color w:val="auto"/>
          <w:sz w:val="20"/>
          <w:szCs w:val="20"/>
          <w:highlight w:val="none"/>
        </w:rPr>
        <w:t>：</w:t>
      </w:r>
    </w:p>
    <w:p w14:paraId="4160720B">
      <w:pPr>
        <w:keepNext w:val="0"/>
        <w:keepLines w:val="0"/>
        <w:pageBreakBefore w:val="0"/>
        <w:widowControl w:val="0"/>
        <w:numPr>
          <w:ilvl w:val="0"/>
          <w:numId w:val="0"/>
        </w:numPr>
        <w:shd w:val="clear"/>
        <w:tabs>
          <w:tab w:val="left" w:pos="1440"/>
        </w:tabs>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月度咨询费=总合同造价*70%/服务月周期。除现场咨询费固定支付以外，其余费用按实际发生支付。</w:t>
      </w:r>
    </w:p>
    <w:p w14:paraId="35674C32">
      <w:pPr>
        <w:keepNext w:val="0"/>
        <w:keepLines w:val="0"/>
        <w:pageBreakBefore w:val="0"/>
        <w:widowControl w:val="0"/>
        <w:shd w:val="clear"/>
        <w:tabs>
          <w:tab w:val="left" w:pos="1440"/>
        </w:tabs>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r>
        <w:rPr>
          <w:rFonts w:hint="eastAsia" w:ascii="仿宋" w:hAnsi="仿宋" w:eastAsia="仿宋" w:cs="仿宋"/>
          <w:color w:val="auto"/>
          <w:sz w:val="20"/>
          <w:szCs w:val="20"/>
          <w:highlight w:val="none"/>
          <w:lang w:val="en-US" w:eastAsia="zh-CN"/>
        </w:rPr>
        <w:t>3</w:t>
      </w:r>
      <w:r>
        <w:rPr>
          <w:rFonts w:hint="eastAsia" w:ascii="仿宋" w:hAnsi="仿宋" w:eastAsia="仿宋" w:cs="仿宋"/>
          <w:color w:val="auto"/>
          <w:sz w:val="20"/>
          <w:szCs w:val="20"/>
          <w:highlight w:val="none"/>
        </w:rPr>
        <w:t>.1咨询合同无预付款，月度咨询费=总合同造价*70%/服务月周期，根据月度考核情况浮动支付，另有合同金额30%待结算工作全部完成后支付；</w:t>
      </w:r>
    </w:p>
    <w:p w14:paraId="3A7A60F5">
      <w:pPr>
        <w:keepNext w:val="0"/>
        <w:keepLines w:val="0"/>
        <w:pageBreakBefore w:val="0"/>
        <w:widowControl w:val="0"/>
        <w:shd w:val="clear"/>
        <w:tabs>
          <w:tab w:val="left" w:pos="1440"/>
        </w:tabs>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r>
        <w:rPr>
          <w:rFonts w:hint="eastAsia" w:ascii="仿宋" w:hAnsi="仿宋" w:eastAsia="仿宋" w:cs="仿宋"/>
          <w:color w:val="auto"/>
          <w:sz w:val="20"/>
          <w:szCs w:val="20"/>
          <w:highlight w:val="none"/>
          <w:lang w:val="en-US" w:eastAsia="zh-CN"/>
        </w:rPr>
        <w:t>3</w:t>
      </w:r>
      <w:r>
        <w:rPr>
          <w:rFonts w:hint="eastAsia" w:ascii="仿宋" w:hAnsi="仿宋" w:eastAsia="仿宋" w:cs="仿宋"/>
          <w:color w:val="auto"/>
          <w:sz w:val="20"/>
          <w:szCs w:val="20"/>
          <w:highlight w:val="none"/>
        </w:rPr>
        <w:t>.</w:t>
      </w:r>
      <w:r>
        <w:rPr>
          <w:rFonts w:hint="eastAsia" w:ascii="仿宋" w:hAnsi="仿宋" w:eastAsia="仿宋" w:cs="仿宋"/>
          <w:color w:val="auto"/>
          <w:sz w:val="20"/>
          <w:szCs w:val="20"/>
          <w:highlight w:val="none"/>
          <w:lang w:val="en-US" w:eastAsia="zh-CN"/>
        </w:rPr>
        <w:t>2</w:t>
      </w:r>
      <w:r>
        <w:rPr>
          <w:rFonts w:hint="eastAsia" w:ascii="仿宋" w:hAnsi="仿宋" w:eastAsia="仿宋" w:cs="仿宋"/>
          <w:color w:val="auto"/>
          <w:sz w:val="20"/>
          <w:szCs w:val="20"/>
          <w:highlight w:val="none"/>
        </w:rPr>
        <w:t xml:space="preserve"> 每次付款前，乙方须向甲方提出付款申请，并提供合法发票，以上所有项目付款之前，需按合同要求提供完所有报告资料，甲方确认后方可付款。</w:t>
      </w:r>
    </w:p>
    <w:p w14:paraId="0E7D3546">
      <w:pPr>
        <w:shd w:val="clear"/>
        <w:tabs>
          <w:tab w:val="left" w:pos="1145"/>
        </w:tabs>
        <w:adjustRightInd w:val="0"/>
        <w:spacing w:line="360" w:lineRule="auto"/>
        <w:jc w:val="left"/>
        <w:textAlignment w:val="baseline"/>
        <w:outlineLvl w:val="2"/>
        <w:rPr>
          <w:rFonts w:hint="eastAsia" w:ascii="仿宋" w:hAnsi="仿宋" w:eastAsia="仿宋" w:cs="仿宋"/>
          <w:b/>
          <w:color w:val="auto"/>
          <w:sz w:val="20"/>
          <w:szCs w:val="20"/>
          <w:highlight w:val="none"/>
          <w:lang w:eastAsia="zh-CN"/>
        </w:rPr>
      </w:pPr>
      <w:r>
        <w:rPr>
          <w:rFonts w:hint="eastAsia" w:ascii="仿宋" w:hAnsi="仿宋" w:eastAsia="仿宋" w:cs="仿宋"/>
          <w:b/>
          <w:color w:val="auto"/>
          <w:sz w:val="20"/>
          <w:szCs w:val="20"/>
          <w:highlight w:val="none"/>
        </w:rPr>
        <w:t>3.4付款</w:t>
      </w:r>
      <w:r>
        <w:rPr>
          <w:rFonts w:hint="eastAsia" w:ascii="仿宋" w:hAnsi="仿宋" w:eastAsia="仿宋" w:cs="仿宋"/>
          <w:b/>
          <w:color w:val="auto"/>
          <w:sz w:val="20"/>
          <w:szCs w:val="20"/>
          <w:highlight w:val="none"/>
          <w:lang w:val="en-US" w:eastAsia="zh-CN"/>
        </w:rPr>
        <w:t>条件</w:t>
      </w:r>
    </w:p>
    <w:p w14:paraId="2129E6BC">
      <w:pPr>
        <w:keepNext w:val="0"/>
        <w:keepLines w:val="0"/>
        <w:pageBreakBefore w:val="0"/>
        <w:widowControl w:val="0"/>
        <w:shd w:val="clear"/>
        <w:tabs>
          <w:tab w:val="left" w:pos="1440"/>
        </w:tabs>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3.4.1乙方交付每一阶段（或分项）工作成果及文件资料，经甲方书面验收合格且符合本合同约定的付款条件后的40个日历天内，甲方向乙方支付该阶段（或分项）咨询费用；            </w:t>
      </w:r>
    </w:p>
    <w:p w14:paraId="24D2B188">
      <w:pPr>
        <w:keepNext w:val="0"/>
        <w:keepLines w:val="0"/>
        <w:pageBreakBefore w:val="0"/>
        <w:widowControl w:val="0"/>
        <w:shd w:val="clear"/>
        <w:tabs>
          <w:tab w:val="left" w:pos="1440"/>
        </w:tabs>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3.4.</w:t>
      </w:r>
      <w:r>
        <w:rPr>
          <w:rFonts w:hint="eastAsia" w:ascii="仿宋" w:hAnsi="仿宋" w:eastAsia="仿宋" w:cs="仿宋"/>
          <w:color w:val="auto"/>
          <w:sz w:val="20"/>
          <w:szCs w:val="20"/>
          <w:highlight w:val="none"/>
          <w:lang w:val="en-US" w:eastAsia="zh-CN"/>
        </w:rPr>
        <w:t>2</w:t>
      </w:r>
      <w:r>
        <w:rPr>
          <w:rFonts w:hint="eastAsia" w:ascii="仿宋" w:hAnsi="仿宋" w:eastAsia="仿宋" w:cs="仿宋"/>
          <w:color w:val="auto"/>
          <w:sz w:val="20"/>
          <w:szCs w:val="20"/>
          <w:highlight w:val="none"/>
        </w:rPr>
        <w:t>以上所有项目付款之前，需按</w:t>
      </w:r>
      <w:r>
        <w:rPr>
          <w:rFonts w:hint="eastAsia" w:ascii="仿宋" w:hAnsi="仿宋" w:eastAsia="仿宋" w:cs="仿宋"/>
          <w:color w:val="auto"/>
          <w:sz w:val="20"/>
          <w:szCs w:val="20"/>
          <w:highlight w:val="none"/>
          <w:lang w:val="en-US" w:eastAsia="zh-CN"/>
        </w:rPr>
        <w:t>甲方</w:t>
      </w:r>
      <w:r>
        <w:rPr>
          <w:rFonts w:hint="eastAsia" w:ascii="仿宋" w:hAnsi="仿宋" w:eastAsia="仿宋" w:cs="仿宋"/>
          <w:color w:val="auto"/>
          <w:sz w:val="20"/>
          <w:szCs w:val="20"/>
          <w:highlight w:val="none"/>
        </w:rPr>
        <w:t>要求提供完所有报告资料，甲方确认后方可付款。</w:t>
      </w:r>
    </w:p>
    <w:p w14:paraId="4B97E7CE">
      <w:pPr>
        <w:shd w:val="clear"/>
        <w:tabs>
          <w:tab w:val="left" w:pos="1145"/>
        </w:tabs>
        <w:adjustRightInd w:val="0"/>
        <w:spacing w:line="360" w:lineRule="auto"/>
        <w:jc w:val="left"/>
        <w:textAlignment w:val="baseline"/>
        <w:outlineLvl w:val="2"/>
        <w:rPr>
          <w:rFonts w:hint="eastAsia" w:ascii="仿宋" w:hAnsi="仿宋" w:eastAsia="仿宋" w:cs="仿宋"/>
          <w:color w:val="auto"/>
          <w:sz w:val="20"/>
          <w:szCs w:val="20"/>
          <w:highlight w:val="none"/>
        </w:rPr>
      </w:pPr>
      <w:r>
        <w:rPr>
          <w:rFonts w:hint="eastAsia" w:ascii="仿宋" w:hAnsi="仿宋" w:eastAsia="仿宋" w:cs="仿宋"/>
          <w:b/>
          <w:color w:val="auto"/>
          <w:sz w:val="20"/>
          <w:szCs w:val="20"/>
          <w:highlight w:val="none"/>
        </w:rPr>
        <w:t>3.5价款调整：</w:t>
      </w:r>
      <w:r>
        <w:rPr>
          <w:rFonts w:hint="eastAsia" w:ascii="仿宋" w:hAnsi="仿宋" w:eastAsia="仿宋" w:cs="仿宋"/>
          <w:color w:val="auto"/>
          <w:sz w:val="20"/>
          <w:szCs w:val="20"/>
          <w:highlight w:val="none"/>
        </w:rPr>
        <w:t>合同履行过程中，非经甲方书面同意或合同另有约定，否则乙方不得主张提高合同价款。但是，如法律法规调整增值税税率的，则乙方同意按照如下原则操作：</w:t>
      </w:r>
    </w:p>
    <w:p w14:paraId="77DBFA62">
      <w:pPr>
        <w:keepNext w:val="0"/>
        <w:keepLines w:val="0"/>
        <w:pageBreakBefore w:val="0"/>
        <w:widowControl w:val="0"/>
        <w:shd w:val="clear"/>
        <w:kinsoku/>
        <w:wordWrap/>
        <w:overflowPunct/>
        <w:topLinePunct w:val="0"/>
        <w:autoSpaceDE/>
        <w:autoSpaceDN/>
        <w:bidi w:val="0"/>
        <w:adjustRightInd/>
        <w:snapToGrid/>
        <w:spacing w:line="360" w:lineRule="auto"/>
        <w:ind w:left="118" w:leftChars="56" w:firstLine="400" w:firstLineChars="200"/>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3.5.1如适用增值税税率下调的，乙方以“不含税价款”不变的原则，按新税率开具增值税专用发票；如乙方已开具发票的，则发票不再重开；如甲方已付款但尚未取得发票的，乙方应在甲方发出通知后的5日内，将税款差额（税款差额 = 按原税率计算的含税价款 — 按新税率计算的含税价款）返还于甲方。</w:t>
      </w:r>
    </w:p>
    <w:p w14:paraId="1AF2D74C">
      <w:pPr>
        <w:keepNext w:val="0"/>
        <w:keepLines w:val="0"/>
        <w:pageBreakBefore w:val="0"/>
        <w:widowControl w:val="0"/>
        <w:shd w:val="clear"/>
        <w:kinsoku/>
        <w:wordWrap/>
        <w:overflowPunct/>
        <w:topLinePunct w:val="0"/>
        <w:autoSpaceDE/>
        <w:autoSpaceDN/>
        <w:bidi w:val="0"/>
        <w:adjustRightInd/>
        <w:snapToGrid/>
        <w:spacing w:line="360" w:lineRule="auto"/>
        <w:ind w:left="118" w:leftChars="56" w:firstLine="400" w:firstLineChars="200"/>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3.5.2如适用增值税税率上调的，则乙方以“不含税价款”不变原则，按新税率开具增值税专用发票；如乙方已开具发票的，则发票不再重开，甲方按发票含税总金额付款。</w:t>
      </w:r>
    </w:p>
    <w:p w14:paraId="36108D04">
      <w:pPr>
        <w:shd w:val="clear"/>
        <w:tabs>
          <w:tab w:val="left" w:pos="425"/>
          <w:tab w:val="left" w:pos="540"/>
        </w:tabs>
        <w:spacing w:line="360" w:lineRule="auto"/>
        <w:ind w:left="425" w:hanging="425"/>
        <w:jc w:val="left"/>
        <w:rPr>
          <w:rFonts w:hint="eastAsia" w:ascii="仿宋" w:hAnsi="仿宋" w:eastAsia="仿宋" w:cs="仿宋"/>
          <w:b/>
          <w:color w:val="auto"/>
          <w:sz w:val="20"/>
          <w:szCs w:val="20"/>
          <w:highlight w:val="none"/>
        </w:rPr>
      </w:pPr>
      <w:r>
        <w:rPr>
          <w:rFonts w:hint="eastAsia" w:ascii="仿宋" w:hAnsi="仿宋" w:eastAsia="仿宋" w:cs="仿宋"/>
          <w:b/>
          <w:color w:val="auto"/>
          <w:sz w:val="20"/>
          <w:szCs w:val="20"/>
          <w:highlight w:val="none"/>
        </w:rPr>
        <w:t>4.</w:t>
      </w:r>
      <w:r>
        <w:rPr>
          <w:rFonts w:hint="eastAsia" w:ascii="仿宋" w:hAnsi="仿宋" w:eastAsia="仿宋" w:cs="仿宋"/>
          <w:b/>
          <w:color w:val="auto"/>
          <w:sz w:val="20"/>
          <w:szCs w:val="20"/>
          <w:highlight w:val="none"/>
        </w:rPr>
        <w:tab/>
      </w:r>
      <w:r>
        <w:rPr>
          <w:rFonts w:hint="eastAsia" w:ascii="仿宋" w:hAnsi="仿宋" w:eastAsia="仿宋" w:cs="仿宋"/>
          <w:b/>
          <w:color w:val="auto"/>
          <w:sz w:val="20"/>
          <w:szCs w:val="20"/>
          <w:highlight w:val="none"/>
        </w:rPr>
        <w:t>票据管理</w:t>
      </w:r>
    </w:p>
    <w:p w14:paraId="673112D5">
      <w:pPr>
        <w:shd w:val="clear"/>
        <w:tabs>
          <w:tab w:val="left" w:pos="930"/>
        </w:tabs>
        <w:snapToGrid w:val="0"/>
        <w:spacing w:line="360" w:lineRule="auto"/>
        <w:outlineLvl w:val="0"/>
        <w:rPr>
          <w:rFonts w:hint="eastAsia" w:ascii="仿宋" w:hAnsi="仿宋" w:eastAsia="仿宋" w:cs="仿宋"/>
          <w:color w:val="auto"/>
          <w:sz w:val="20"/>
          <w:szCs w:val="20"/>
          <w:highlight w:val="none"/>
        </w:rPr>
      </w:pPr>
      <w:r>
        <w:rPr>
          <w:rFonts w:hint="eastAsia" w:ascii="仿宋" w:hAnsi="仿宋" w:eastAsia="仿宋" w:cs="仿宋"/>
          <w:b/>
          <w:color w:val="auto"/>
          <w:sz w:val="20"/>
          <w:szCs w:val="20"/>
          <w:highlight w:val="none"/>
        </w:rPr>
        <w:t>4.1</w:t>
      </w:r>
      <w:r>
        <w:rPr>
          <w:rFonts w:hint="eastAsia" w:ascii="仿宋" w:hAnsi="仿宋" w:eastAsia="仿宋" w:cs="仿宋"/>
          <w:color w:val="auto"/>
          <w:sz w:val="20"/>
          <w:szCs w:val="20"/>
          <w:highlight w:val="none"/>
        </w:rPr>
        <w:t>本合同涉及的所有金额，均以人民币作为货币单位计算，双方账户信息如下：</w:t>
      </w:r>
    </w:p>
    <w:p w14:paraId="2C2BC766">
      <w:pPr>
        <w:shd w:val="clear"/>
        <w:tabs>
          <w:tab w:val="left" w:pos="1440"/>
        </w:tabs>
        <w:spacing w:line="360" w:lineRule="auto"/>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4.1.1乙方银行账户信息和纳税人信息如下：</w:t>
      </w:r>
    </w:p>
    <w:p w14:paraId="5AC289B9">
      <w:pPr>
        <w:shd w:val="clear"/>
        <w:spacing w:line="360" w:lineRule="auto"/>
        <w:ind w:firstLine="500" w:firstLineChars="25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开户银行：××××××××××</w:t>
      </w:r>
    </w:p>
    <w:p w14:paraId="113A9F75">
      <w:pPr>
        <w:shd w:val="clear"/>
        <w:spacing w:line="360" w:lineRule="auto"/>
        <w:ind w:firstLine="500" w:firstLineChars="25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银行地址：××××××××××</w:t>
      </w:r>
    </w:p>
    <w:p w14:paraId="0A38D33E">
      <w:pPr>
        <w:shd w:val="clear"/>
        <w:spacing w:line="360" w:lineRule="auto"/>
        <w:ind w:firstLine="500" w:firstLineChars="25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户名：××××××××××</w:t>
      </w:r>
    </w:p>
    <w:p w14:paraId="65290208">
      <w:pPr>
        <w:shd w:val="clear"/>
        <w:spacing w:line="360" w:lineRule="auto"/>
        <w:ind w:firstLine="500" w:firstLineChars="25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账号：××××××××××</w:t>
      </w:r>
    </w:p>
    <w:p w14:paraId="32898637">
      <w:pPr>
        <w:shd w:val="clear"/>
        <w:spacing w:line="360" w:lineRule="auto"/>
        <w:ind w:firstLine="500" w:firstLineChars="25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纳税人识别号：××××××××××</w:t>
      </w:r>
    </w:p>
    <w:p w14:paraId="6AAF85FD">
      <w:pPr>
        <w:shd w:val="clear"/>
        <w:spacing w:line="360" w:lineRule="auto"/>
        <w:ind w:firstLine="500" w:firstLineChars="25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地址：××××××××××</w:t>
      </w:r>
    </w:p>
    <w:p w14:paraId="3B46A680">
      <w:pPr>
        <w:shd w:val="clear"/>
        <w:spacing w:line="360" w:lineRule="auto"/>
        <w:ind w:firstLine="800" w:firstLineChars="400"/>
        <w:jc w:val="left"/>
        <w:rPr>
          <w:rFonts w:hint="eastAsia" w:ascii="仿宋" w:hAnsi="仿宋" w:eastAsia="仿宋" w:cs="仿宋"/>
          <w:color w:val="auto"/>
          <w:sz w:val="20"/>
          <w:szCs w:val="20"/>
          <w:highlight w:val="none"/>
        </w:rPr>
      </w:pPr>
    </w:p>
    <w:p w14:paraId="1F0C1EAA">
      <w:pPr>
        <w:shd w:val="clear"/>
        <w:tabs>
          <w:tab w:val="left" w:pos="1440"/>
        </w:tabs>
        <w:spacing w:line="360" w:lineRule="auto"/>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4.1.2乙方应按照甲方的纳税人基础信息开具增值税专用发票，甲方纳税人基础信息如下：</w:t>
      </w:r>
    </w:p>
    <w:p w14:paraId="716D13A0">
      <w:pPr>
        <w:shd w:val="clear"/>
        <w:spacing w:line="360" w:lineRule="auto"/>
        <w:ind w:firstLine="800" w:firstLineChars="40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公司名称：××××××××××</w:t>
      </w:r>
    </w:p>
    <w:p w14:paraId="0BABEA1F">
      <w:pPr>
        <w:shd w:val="clear"/>
        <w:spacing w:line="360" w:lineRule="auto"/>
        <w:ind w:firstLine="800" w:firstLineChars="40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纳税人识别号：××××××××××</w:t>
      </w:r>
    </w:p>
    <w:p w14:paraId="3415ABD5">
      <w:pPr>
        <w:shd w:val="clear"/>
        <w:spacing w:line="360" w:lineRule="auto"/>
        <w:ind w:firstLine="800" w:firstLineChars="40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地    址：××××××××××</w:t>
      </w:r>
    </w:p>
    <w:p w14:paraId="784DEAC5">
      <w:pPr>
        <w:shd w:val="clear"/>
        <w:spacing w:line="360" w:lineRule="auto"/>
        <w:ind w:firstLine="800" w:firstLineChars="40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电    话：××××××××××</w:t>
      </w:r>
    </w:p>
    <w:p w14:paraId="4E00F542">
      <w:pPr>
        <w:shd w:val="clear"/>
        <w:spacing w:line="360" w:lineRule="auto"/>
        <w:ind w:firstLine="800" w:firstLineChars="40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开户银行：××××××××××</w:t>
      </w:r>
    </w:p>
    <w:p w14:paraId="5809B891">
      <w:pPr>
        <w:shd w:val="clear"/>
        <w:spacing w:line="360" w:lineRule="auto"/>
        <w:ind w:firstLine="800" w:firstLineChars="400"/>
        <w:jc w:val="left"/>
        <w:rPr>
          <w:rFonts w:hint="eastAsia" w:ascii="仿宋" w:hAnsi="仿宋" w:eastAsia="仿宋" w:cs="仿宋"/>
          <w:b/>
          <w:color w:val="auto"/>
          <w:sz w:val="20"/>
          <w:szCs w:val="20"/>
          <w:highlight w:val="none"/>
        </w:rPr>
      </w:pPr>
      <w:r>
        <w:rPr>
          <w:rFonts w:hint="eastAsia" w:ascii="仿宋" w:hAnsi="仿宋" w:eastAsia="仿宋" w:cs="仿宋"/>
          <w:color w:val="auto"/>
          <w:sz w:val="20"/>
          <w:szCs w:val="20"/>
          <w:highlight w:val="none"/>
        </w:rPr>
        <w:t>账    号：××××××××××</w:t>
      </w:r>
    </w:p>
    <w:p w14:paraId="5793686C">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4.2乙方应在甲方支付费用前，依据甲方批准的金额，先行向甲方提供足额合法且符合当地税务规定的增值税专用发票（如乙方为小规模纳税人不能自行开具增值税专用发票的，则其应当由税务机关代开增值税专用发票），保证增值税税率（或征收率）为【 6 %】 ，并在增值税专用发票开具后的5日内送达甲方。乙方确保向甲方开具或提供的增值税专用发票票面信息全部真实，相关品目、价款等内容与本合同一致。甲方指定收到乙方提供的增值税专用发票后通过防伪税控系统认证，并在认证通过后支付相应款项，如认证不通过甲方有权延迟支付相应费用而不被视为违约，亦无须承担任何违约责任。</w:t>
      </w:r>
    </w:p>
    <w:p w14:paraId="4E238FF4">
      <w:pPr>
        <w:keepNext w:val="0"/>
        <w:keepLines w:val="0"/>
        <w:pageBreakBefore w:val="0"/>
        <w:widowControl w:val="0"/>
        <w:shd w:val="clear"/>
        <w:tabs>
          <w:tab w:val="left" w:pos="82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4.3乙方开具的增值税发票的内容必须与本合同约定的采购或服务内容完全一致，对于甲方一揽子采购货物或者服务，发票必须按明细内容填开或者同时提供其防伪税控系统开具的《销售货物或者提供应税劳务清单》，并加盖发票专用章。</w:t>
      </w:r>
    </w:p>
    <w:p w14:paraId="0DBE3A6A">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4.4乙方承诺，本合同签署的乙方公司名称与发票开具单位与收款单位一致，乙方不得以其他理由在合同执行过程中要求调整发票开具单位或收款单位，否则视为乙方违约。乙方法人/公司名称变更的除外，但须提供合法有效的公司名称变更的工商登记手续。</w:t>
      </w:r>
    </w:p>
    <w:p w14:paraId="49349E06">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4.5如甲方取得乙方开具的增值税专用发票（含抵扣联）后遗失的，则乙方应当配合甲方办理后续相关事宜，具体手续要求依照税法及相关管理规定执行。</w:t>
      </w:r>
    </w:p>
    <w:p w14:paraId="6F507075">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4.6如出现下列情形的，甲方有权要求乙方采取重新开具发票等补救措施，并有权要求乙方支付合同总价（含增值税额）【10】%的违约金，违约金不足以弥补甲方损失的，甲方有权继续追偿；情节严重的，甲方有权解除本合同，不予退还乙方已支付的履约保证金（如有），要求乙方支付合同总价（含增值税额）【20】%的违约金，如违约金不足以弥补甲方全部损失（包括但不限于税款、滞纳金、罚款及甲方其他相关损失等）的，甲方有权继续追偿。</w:t>
      </w:r>
    </w:p>
    <w:p w14:paraId="58619A96">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4.6.1乙方未按本合同约定及时向甲方开具、送达增值税专用发票，造成甲方无法及时认证、抵扣的；出现乙方未按合同规定开具、送达发票次数达【2】次及以上的，视为情节严重。</w:t>
      </w:r>
    </w:p>
    <w:p w14:paraId="60ACCD96">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4.6.2乙方未经甲方同意，擅自要求调整发票开具单位或收款单位的。</w:t>
      </w:r>
    </w:p>
    <w:p w14:paraId="4D156BD1">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4.6.3因乙方提供的增值税专用发票票面信息有误等原因，导致乙方提供的增值税专用发票未通过认证的；上述情形发生【2】次及以上的，视为情节严重。</w:t>
      </w:r>
    </w:p>
    <w:p w14:paraId="7EFD1D92">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4.6.4乙方违反国家法律、法规、规章、政策等规定开具、提供发票或涉嫌虚开发票的，视为情节严重（本合同另有约定的除外）。</w:t>
      </w:r>
    </w:p>
    <w:p w14:paraId="6DB13710">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4.7本合同内容（包括但不限于合同金额、数量、服务内容等）经双方同意变更的，如果变更的内容涉及到采购商品品种、提供服务事项、价款等增值税专用发票记载项目发生变化的，乙方应当依规作废、红冲、重开、补开增值税专用发票。</w:t>
      </w:r>
    </w:p>
    <w:p w14:paraId="333BD481">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4.8若因乙方原因导致合同未执行就解除的，甲方应就向乙方收取的违约金、赔偿金（如有）开具收据。</w:t>
      </w:r>
    </w:p>
    <w:p w14:paraId="2DE23EFA">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4.9如乙方违约的，甲方有权要求乙方返还所有款项（如有），或从应付未付款项中扣除乙方违约金、赔偿金后再行支付款项的（如有），乙方应按扣除违约金、赔偿金后净额金额向甲方开具增值税专用发票；若乙方已开具增值税专用发票的，应当依规作废、重开或红字开具增值税专用发票。</w:t>
      </w:r>
    </w:p>
    <w:p w14:paraId="6F2B7994">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w:t>
      </w:r>
      <w:r>
        <w:rPr>
          <w:rFonts w:hint="eastAsia" w:ascii="仿宋" w:hAnsi="仿宋" w:eastAsia="仿宋" w:cs="仿宋"/>
          <w:color w:val="auto"/>
          <w:sz w:val="20"/>
          <w:szCs w:val="20"/>
          <w:highlight w:val="none"/>
          <w:lang w:val="en-US" w:eastAsia="zh-CN"/>
        </w:rPr>
        <w:t>10</w:t>
      </w:r>
      <w:r>
        <w:rPr>
          <w:rFonts w:hint="eastAsia" w:ascii="仿宋" w:hAnsi="仿宋" w:eastAsia="仿宋" w:cs="仿宋"/>
          <w:color w:val="auto"/>
          <w:sz w:val="20"/>
          <w:szCs w:val="20"/>
          <w:highlight w:val="none"/>
        </w:rPr>
        <w:t>乙方提供预估（或合同）总价100%的增值税专用发票的时间不应晚于整体项目竣工  验收时间；工程结算时间晚于整体项目竣工验收时间的，则在工程结算时甲乙双方根据实际结算金额，由乙方向甲方补开增值税专用发票或由甲方配合乙方开具红字发票。另，就发票提供时间，如本条之约定与合同其他条款不符的，则以约定较早提供发票之时间条款为准。</w:t>
      </w:r>
    </w:p>
    <w:p w14:paraId="1732285F">
      <w:pPr>
        <w:shd w:val="clear"/>
        <w:snapToGrid w:val="0"/>
        <w:spacing w:line="360" w:lineRule="auto"/>
        <w:ind w:left="1015" w:leftChars="150" w:hanging="700" w:hangingChars="350"/>
        <w:outlineLvl w:val="0"/>
        <w:rPr>
          <w:rFonts w:hint="eastAsia" w:ascii="仿宋" w:hAnsi="仿宋" w:eastAsia="仿宋" w:cs="仿宋"/>
          <w:color w:val="auto"/>
          <w:sz w:val="20"/>
          <w:szCs w:val="20"/>
          <w:highlight w:val="none"/>
        </w:rPr>
      </w:pPr>
    </w:p>
    <w:p w14:paraId="527E0600">
      <w:pPr>
        <w:shd w:val="clear"/>
        <w:tabs>
          <w:tab w:val="left" w:pos="425"/>
          <w:tab w:val="left" w:pos="540"/>
        </w:tabs>
        <w:spacing w:line="360" w:lineRule="auto"/>
        <w:ind w:left="425" w:hanging="425"/>
        <w:jc w:val="left"/>
        <w:rPr>
          <w:rFonts w:hint="eastAsia" w:ascii="仿宋" w:hAnsi="仿宋" w:eastAsia="仿宋" w:cs="仿宋"/>
          <w:b/>
          <w:color w:val="auto"/>
          <w:sz w:val="20"/>
          <w:szCs w:val="20"/>
          <w:highlight w:val="none"/>
        </w:rPr>
      </w:pPr>
      <w:r>
        <w:rPr>
          <w:rFonts w:hint="eastAsia" w:ascii="仿宋" w:hAnsi="仿宋" w:eastAsia="仿宋" w:cs="仿宋"/>
          <w:b/>
          <w:color w:val="auto"/>
          <w:sz w:val="20"/>
          <w:szCs w:val="20"/>
          <w:highlight w:val="none"/>
        </w:rPr>
        <w:t>5.</w:t>
      </w:r>
      <w:r>
        <w:rPr>
          <w:rFonts w:hint="eastAsia" w:ascii="仿宋" w:hAnsi="仿宋" w:eastAsia="仿宋" w:cs="仿宋"/>
          <w:b/>
          <w:color w:val="auto"/>
          <w:sz w:val="20"/>
          <w:szCs w:val="20"/>
          <w:highlight w:val="none"/>
        </w:rPr>
        <w:tab/>
      </w:r>
      <w:r>
        <w:rPr>
          <w:rFonts w:hint="eastAsia" w:ascii="仿宋" w:hAnsi="仿宋" w:eastAsia="仿宋" w:cs="仿宋"/>
          <w:b/>
          <w:color w:val="auto"/>
          <w:sz w:val="20"/>
          <w:szCs w:val="20"/>
          <w:highlight w:val="none"/>
        </w:rPr>
        <w:t xml:space="preserve"> 完成造价咨询工作的期限</w:t>
      </w:r>
    </w:p>
    <w:p w14:paraId="744B2C9C">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5.1造价咨询工作期限自      年      月       日至完成合同中所有服务后终止日止，如终止日期遇春节、十一长假等法定假日同步予以顺延至下个工作日。</w:t>
      </w:r>
    </w:p>
    <w:p w14:paraId="1C264FEC">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5.2  乙方应确保按甲方要求期限完成成果</w:t>
      </w:r>
      <w:r>
        <w:rPr>
          <w:rFonts w:hint="eastAsia" w:ascii="仿宋" w:hAnsi="仿宋" w:eastAsia="仿宋" w:cs="仿宋"/>
          <w:color w:val="auto"/>
          <w:sz w:val="20"/>
          <w:szCs w:val="20"/>
          <w:highlight w:val="none"/>
          <w:lang w:eastAsia="zh-CN"/>
        </w:rPr>
        <w:t>；</w:t>
      </w:r>
    </w:p>
    <w:p w14:paraId="5AD94143">
      <w:pPr>
        <w:pStyle w:val="24"/>
        <w:shd w:val="clear"/>
        <w:spacing w:line="360" w:lineRule="auto"/>
        <w:rPr>
          <w:rFonts w:hint="eastAsia" w:ascii="仿宋" w:hAnsi="仿宋" w:eastAsia="仿宋" w:cs="仿宋"/>
          <w:color w:val="auto"/>
          <w:sz w:val="20"/>
          <w:szCs w:val="20"/>
          <w:highlight w:val="none"/>
        </w:rPr>
      </w:pPr>
    </w:p>
    <w:p w14:paraId="13791D41">
      <w:pPr>
        <w:shd w:val="clear"/>
        <w:tabs>
          <w:tab w:val="left" w:pos="425"/>
          <w:tab w:val="left" w:pos="540"/>
        </w:tabs>
        <w:spacing w:line="360" w:lineRule="auto"/>
        <w:ind w:left="425" w:hanging="425"/>
        <w:jc w:val="left"/>
        <w:rPr>
          <w:rFonts w:hint="eastAsia" w:ascii="仿宋" w:hAnsi="仿宋" w:eastAsia="仿宋" w:cs="仿宋"/>
          <w:b/>
          <w:color w:val="auto"/>
          <w:sz w:val="20"/>
          <w:szCs w:val="20"/>
          <w:highlight w:val="none"/>
        </w:rPr>
      </w:pPr>
      <w:r>
        <w:rPr>
          <w:rFonts w:hint="eastAsia" w:ascii="仿宋" w:hAnsi="仿宋" w:eastAsia="仿宋" w:cs="仿宋"/>
          <w:b/>
          <w:color w:val="auto"/>
          <w:sz w:val="20"/>
          <w:szCs w:val="20"/>
          <w:highlight w:val="none"/>
        </w:rPr>
        <w:t>6.</w:t>
      </w:r>
      <w:r>
        <w:rPr>
          <w:rFonts w:hint="eastAsia" w:ascii="仿宋" w:hAnsi="仿宋" w:eastAsia="仿宋" w:cs="仿宋"/>
          <w:b/>
          <w:color w:val="auto"/>
          <w:sz w:val="20"/>
          <w:szCs w:val="20"/>
          <w:highlight w:val="none"/>
        </w:rPr>
        <w:tab/>
      </w:r>
      <w:r>
        <w:rPr>
          <w:rFonts w:hint="eastAsia" w:ascii="仿宋" w:hAnsi="仿宋" w:eastAsia="仿宋" w:cs="仿宋"/>
          <w:b/>
          <w:color w:val="auto"/>
          <w:sz w:val="20"/>
          <w:szCs w:val="20"/>
          <w:highlight w:val="none"/>
        </w:rPr>
        <w:t xml:space="preserve">甲方的权利和义务 </w:t>
      </w:r>
    </w:p>
    <w:p w14:paraId="190DDFCC">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6.1及时提供乙方完成工造价咨询工作所必需的文件、图纸等各种资料。</w:t>
      </w:r>
    </w:p>
    <w:p w14:paraId="594097A4">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6.2按合同约定支付费用。</w:t>
      </w:r>
    </w:p>
    <w:p w14:paraId="38863EBC">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6.3乙方为履行本合同的工程造价咨询工作需与设计单位、承包商联络接触时，由甲方发出书面通知并出面组织协调乙方与设计单位、承包商之间的联络，主持相关会议。</w:t>
      </w:r>
    </w:p>
    <w:p w14:paraId="5D02450A">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6.4审核、验收乙方各阶段服务交付的工作成果及文件资料，惟不能免除甲方日后发现上述阶段成果及文件错误而乙方应承担之责任。</w:t>
      </w:r>
    </w:p>
    <w:p w14:paraId="7225024A">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6.5甲方有权审核乙方编制的文件，当设计单位、承包商对乙方编制的文件 存在争议不能达成一致时，甲方拥有最终裁决权，并负责协调解决，但不得违反现行相关的法律法规。</w:t>
      </w:r>
    </w:p>
    <w:p w14:paraId="3CD63D39">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6.6甲方应及时监督、检查乙方的实际工作。甲方有权监督、检查乙方的造价咨询工作， 有权对乙方的工作和文件成果提出</w:t>
      </w:r>
      <w:r>
        <w:rPr>
          <w:rFonts w:hint="eastAsia" w:ascii="仿宋" w:hAnsi="仿宋" w:eastAsia="仿宋" w:cs="仿宋"/>
          <w:color w:val="auto"/>
          <w:sz w:val="20"/>
          <w:szCs w:val="20"/>
          <w:highlight w:val="none"/>
          <w:lang w:eastAsia="zh-CN"/>
        </w:rPr>
        <w:t>异议</w:t>
      </w:r>
      <w:r>
        <w:rPr>
          <w:rFonts w:hint="eastAsia" w:ascii="仿宋" w:hAnsi="仿宋" w:eastAsia="仿宋" w:cs="仿宋"/>
          <w:color w:val="auto"/>
          <w:sz w:val="20"/>
          <w:szCs w:val="20"/>
          <w:highlight w:val="none"/>
        </w:rPr>
        <w:t>和修改意见， 但若乙方工作失误，甲方修改意见的执行并不能成为乙方免除工作质量责任的理由。</w:t>
      </w:r>
    </w:p>
    <w:p w14:paraId="33CB9DE7">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6.7当甲方认定乙方造价人员不按本合同履行其职责，或与第三人串通给甲方造成经济损失的，甲方有权要求更换造价人员，追究乙方的违约责任，直至单方解除合同并要求乙方承担相应的赔偿责任。</w:t>
      </w:r>
    </w:p>
    <w:p w14:paraId="3EE6E59E">
      <w:pPr>
        <w:shd w:val="clear"/>
        <w:tabs>
          <w:tab w:val="left" w:pos="425"/>
          <w:tab w:val="left" w:pos="540"/>
        </w:tabs>
        <w:spacing w:line="360" w:lineRule="auto"/>
        <w:ind w:left="425" w:hanging="425"/>
        <w:jc w:val="left"/>
        <w:rPr>
          <w:rFonts w:hint="eastAsia" w:ascii="仿宋" w:hAnsi="仿宋" w:eastAsia="仿宋" w:cs="仿宋"/>
          <w:b/>
          <w:color w:val="auto"/>
          <w:sz w:val="20"/>
          <w:szCs w:val="20"/>
          <w:highlight w:val="none"/>
        </w:rPr>
      </w:pPr>
      <w:r>
        <w:rPr>
          <w:rFonts w:hint="eastAsia" w:ascii="仿宋" w:hAnsi="仿宋" w:eastAsia="仿宋" w:cs="仿宋"/>
          <w:b/>
          <w:color w:val="auto"/>
          <w:sz w:val="20"/>
          <w:szCs w:val="20"/>
          <w:highlight w:val="none"/>
        </w:rPr>
        <w:t>7.</w:t>
      </w:r>
      <w:r>
        <w:rPr>
          <w:rFonts w:hint="eastAsia" w:ascii="仿宋" w:hAnsi="仿宋" w:eastAsia="仿宋" w:cs="仿宋"/>
          <w:b/>
          <w:color w:val="auto"/>
          <w:sz w:val="20"/>
          <w:szCs w:val="20"/>
          <w:highlight w:val="none"/>
        </w:rPr>
        <w:tab/>
      </w:r>
      <w:r>
        <w:rPr>
          <w:rFonts w:hint="eastAsia" w:ascii="仿宋" w:hAnsi="仿宋" w:eastAsia="仿宋" w:cs="仿宋"/>
          <w:b/>
          <w:color w:val="auto"/>
          <w:sz w:val="20"/>
          <w:szCs w:val="20"/>
          <w:highlight w:val="none"/>
        </w:rPr>
        <w:t>乙方的权利和义务</w:t>
      </w:r>
    </w:p>
    <w:p w14:paraId="776E10A5">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7.1本工程乙方项目组成本人员：项目经理：</w:t>
      </w:r>
      <w:r>
        <w:rPr>
          <w:rFonts w:hint="eastAsia" w:ascii="仿宋" w:hAnsi="仿宋" w:eastAsia="仿宋" w:cs="仿宋"/>
          <w:color w:val="auto"/>
          <w:sz w:val="20"/>
          <w:szCs w:val="20"/>
          <w:highlight w:val="none"/>
          <w:u w:val="single"/>
        </w:rPr>
        <w:t xml:space="preserve">              </w:t>
      </w:r>
      <w:r>
        <w:rPr>
          <w:rFonts w:hint="eastAsia" w:ascii="仿宋" w:hAnsi="仿宋" w:eastAsia="仿宋" w:cs="仿宋"/>
          <w:color w:val="auto"/>
          <w:sz w:val="20"/>
          <w:szCs w:val="20"/>
          <w:highlight w:val="none"/>
        </w:rPr>
        <w:t>，技术总负责：</w:t>
      </w:r>
      <w:r>
        <w:rPr>
          <w:rFonts w:hint="eastAsia" w:ascii="仿宋" w:hAnsi="仿宋" w:eastAsia="仿宋" w:cs="仿宋"/>
          <w:color w:val="auto"/>
          <w:sz w:val="20"/>
          <w:szCs w:val="20"/>
          <w:highlight w:val="none"/>
          <w:u w:val="single"/>
        </w:rPr>
        <w:t xml:space="preserve">             </w:t>
      </w:r>
      <w:r>
        <w:rPr>
          <w:rFonts w:hint="eastAsia" w:ascii="仿宋" w:hAnsi="仿宋" w:eastAsia="仿宋" w:cs="仿宋"/>
          <w:color w:val="auto"/>
          <w:sz w:val="20"/>
          <w:szCs w:val="20"/>
          <w:highlight w:val="none"/>
        </w:rPr>
        <w:t xml:space="preserve"> ，土建负责人：               ，安装负责人：               。</w:t>
      </w:r>
    </w:p>
    <w:p w14:paraId="3D514CD5">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7.2乙方应按照甲乙双方协商确定的工作计划按时完成其所承担的各项造价咨询工作。所提供的成果报告应附有足够的支持该成果的相关依据。</w:t>
      </w:r>
    </w:p>
    <w:p w14:paraId="5B4A7282">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7.3依合同约定取得咨询费用。</w:t>
      </w:r>
    </w:p>
    <w:p w14:paraId="437A5957">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7.4当设计单位、承包商对乙方编制的各种资料不理解或有不同意见时，乙方代表甲方对设计单位、承包商进行澄清。如仍不能达成一致意见时，乙方服从甲方协调、裁决的结果。</w:t>
      </w:r>
    </w:p>
    <w:p w14:paraId="2D7CF94C">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7.5乙方应配合本工程项目的进度， 交付各阶段造价咨询成果和细部文件资料（包括因甲方需要时，要求乙方提供的各种书面计算底稿和电子版的图形和套价等与委托工程造价咨询成果有关的所有内容）， 并提供相应其它合同范围内的服务。</w:t>
      </w:r>
    </w:p>
    <w:p w14:paraId="152C222A">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7.6遵守和执行双方确认的造价咨询工作进度和工作计划。</w:t>
      </w:r>
    </w:p>
    <w:p w14:paraId="002CB971">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7.7若投标人对招标文件工程量清单中的列项及数量有疑异，乙方需负责解释，必要时需到项目所在地与投标人核对。</w:t>
      </w:r>
    </w:p>
    <w:p w14:paraId="218047B7">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7.8乙方在工作中发现自身出现过失或不符合规定之处，需立即通知甲方并及时采取措施，加以纠正。</w:t>
      </w:r>
    </w:p>
    <w:p w14:paraId="477747E7">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7.9未经甲方书面同意，乙方不得将本合同约定的工作任务委托、转包和分包给任何第三方。</w:t>
      </w:r>
    </w:p>
    <w:p w14:paraId="7D5043FF">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7.10乙方确因需要委托有关专业顾问完成本属乙方的服务职责和义务时应经甲方书面同意，并且受托的专业顾问资格需经甲方书面认可。乙方对转委托的工作质量负最终责任。</w:t>
      </w:r>
    </w:p>
    <w:p w14:paraId="3496F6A7">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7.11乙方对一般日常造价咨询工作文件，如以传真或电子邮件的方式提供，应同时以邮递或书面的方式提供上述文件。</w:t>
      </w:r>
    </w:p>
    <w:p w14:paraId="42EBBF0B">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7.12无论因任何原因而解除或终止本合同，甲乙双方处理完合同约定的相关事宜后，乙方应将所有由乙方拥有或控制而与甲方有关的资料和文件移交给甲方或任何由甲方重新委托的造价咨询单位，且乙方应提供合作及协助，以使本项目顺利交接。</w:t>
      </w:r>
    </w:p>
    <w:p w14:paraId="2B9B13AD">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7.13乙方造价咨询工作根据中华人民共和国建设部和      市政府颁布的现行有效规定执行。</w:t>
      </w:r>
    </w:p>
    <w:p w14:paraId="1549A328">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7.14乙方不得随意更换项目组长或项目经理，如确需更换，由乙方提出书面申请，须经甲方书面认可后方可更换。</w:t>
      </w:r>
    </w:p>
    <w:p w14:paraId="5EA01344">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7.15乙方按甲方要求，提供各阶段之电子版文件。该电子版文件应为简体字，并可在中国大陆通用的OFFICE软件上阅读及修改（电子版的图形和套价等可在广达软件进行阅读及修改）。</w:t>
      </w:r>
    </w:p>
    <w:p w14:paraId="6CA83932">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7.16根据甲方工作需要，乙方高层管理人员或项目造价咨询人员应及时参加由甲方召集的与本工程造价相关的协调会，解答甲方和承包商的咨询和问题，提出相关的造价控制建议。</w:t>
      </w:r>
    </w:p>
    <w:p w14:paraId="03751742">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7.17若发生合同解除或终止的情况，乙方应在合同解除或终止后3日内将甲方提供的所有资料（包括电子文件）归还甲方。</w:t>
      </w:r>
    </w:p>
    <w:p w14:paraId="51134BA2">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7.18专业责任保险由乙方自行购买。专业保险每次事故最高赔偿额的约定：不少于人民币10,000,000元。专业保险每次事故最高免赔额的约定，免赔额由乙方承担：不多于人民币600,000元。</w:t>
      </w:r>
    </w:p>
    <w:p w14:paraId="18D3AF28">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7.19如乙方工商登记信息、财务信息、税务信息等发生变更的，则乙方应在该等信息变     更后的3个工作日内通知甲方。否则，由此产生的一切责任、损失均由乙方自行承担，与甲方无涉。如本合同其他条款的约定与本条不一致的，则以本条之约定为准。</w:t>
      </w:r>
    </w:p>
    <w:p w14:paraId="07491DA1">
      <w:pPr>
        <w:shd w:val="clear"/>
        <w:snapToGrid w:val="0"/>
        <w:spacing w:line="360" w:lineRule="auto"/>
        <w:ind w:left="992"/>
        <w:outlineLvl w:val="0"/>
        <w:rPr>
          <w:rFonts w:hint="eastAsia" w:ascii="仿宋" w:hAnsi="仿宋" w:eastAsia="仿宋" w:cs="仿宋"/>
          <w:color w:val="auto"/>
          <w:sz w:val="20"/>
          <w:szCs w:val="20"/>
          <w:highlight w:val="none"/>
        </w:rPr>
      </w:pPr>
    </w:p>
    <w:p w14:paraId="6200197D">
      <w:pPr>
        <w:shd w:val="clear"/>
        <w:tabs>
          <w:tab w:val="left" w:pos="425"/>
          <w:tab w:val="left" w:pos="540"/>
        </w:tabs>
        <w:spacing w:line="360" w:lineRule="auto"/>
        <w:ind w:left="425" w:hanging="425"/>
        <w:jc w:val="left"/>
        <w:rPr>
          <w:rFonts w:hint="eastAsia" w:ascii="仿宋" w:hAnsi="仿宋" w:eastAsia="仿宋" w:cs="仿宋"/>
          <w:b/>
          <w:color w:val="auto"/>
          <w:sz w:val="20"/>
          <w:szCs w:val="20"/>
          <w:highlight w:val="none"/>
        </w:rPr>
      </w:pPr>
      <w:r>
        <w:rPr>
          <w:rFonts w:hint="eastAsia" w:ascii="仿宋" w:hAnsi="仿宋" w:eastAsia="仿宋" w:cs="仿宋"/>
          <w:b/>
          <w:color w:val="auto"/>
          <w:sz w:val="20"/>
          <w:szCs w:val="20"/>
          <w:highlight w:val="none"/>
        </w:rPr>
        <w:t>8.</w:t>
      </w:r>
      <w:r>
        <w:rPr>
          <w:rFonts w:hint="eastAsia" w:ascii="仿宋" w:hAnsi="仿宋" w:eastAsia="仿宋" w:cs="仿宋"/>
          <w:b/>
          <w:color w:val="auto"/>
          <w:sz w:val="20"/>
          <w:szCs w:val="20"/>
          <w:highlight w:val="none"/>
        </w:rPr>
        <w:tab/>
      </w:r>
      <w:r>
        <w:rPr>
          <w:rFonts w:hint="eastAsia" w:ascii="仿宋" w:hAnsi="仿宋" w:eastAsia="仿宋" w:cs="仿宋"/>
          <w:b/>
          <w:color w:val="auto"/>
          <w:sz w:val="20"/>
          <w:szCs w:val="20"/>
          <w:highlight w:val="none"/>
        </w:rPr>
        <w:t>质量及考核要求</w:t>
      </w:r>
    </w:p>
    <w:p w14:paraId="2D668EDA">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8.</w:t>
      </w:r>
      <w:r>
        <w:rPr>
          <w:rFonts w:hint="eastAsia" w:ascii="仿宋" w:hAnsi="仿宋" w:eastAsia="仿宋" w:cs="仿宋"/>
          <w:color w:val="auto"/>
          <w:sz w:val="20"/>
          <w:szCs w:val="20"/>
          <w:highlight w:val="none"/>
          <w:lang w:val="en-US" w:eastAsia="zh-CN"/>
        </w:rPr>
        <w:t>1</w:t>
      </w:r>
      <w:r>
        <w:rPr>
          <w:rFonts w:hint="eastAsia" w:ascii="仿宋" w:hAnsi="仿宋" w:eastAsia="仿宋" w:cs="仿宋"/>
          <w:color w:val="auto"/>
          <w:sz w:val="20"/>
          <w:szCs w:val="20"/>
          <w:highlight w:val="none"/>
        </w:rPr>
        <w:t>乙方应设立项目小组，配备相应专业的造价工程师，指定专人负责项目的咨询工作；如甲方对小组成员的工作不满意，乙方应无条件同意甲方更换相应人员的要求。</w:t>
      </w:r>
    </w:p>
    <w:p w14:paraId="63F832C7">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8.</w:t>
      </w:r>
      <w:r>
        <w:rPr>
          <w:rFonts w:hint="eastAsia" w:ascii="仿宋" w:hAnsi="仿宋" w:eastAsia="仿宋" w:cs="仿宋"/>
          <w:color w:val="auto"/>
          <w:sz w:val="20"/>
          <w:szCs w:val="20"/>
          <w:highlight w:val="none"/>
          <w:lang w:val="en-US" w:eastAsia="zh-CN"/>
        </w:rPr>
        <w:t>2</w:t>
      </w:r>
      <w:r>
        <w:rPr>
          <w:rFonts w:hint="eastAsia" w:ascii="仿宋" w:hAnsi="仿宋" w:eastAsia="仿宋" w:cs="仿宋"/>
          <w:color w:val="auto"/>
          <w:sz w:val="20"/>
          <w:szCs w:val="20"/>
          <w:highlight w:val="none"/>
        </w:rPr>
        <w:t>甲方有需要时应提前一天通知乙方，乙方在收到通知后要及时安排有关人员到场，否则每缺席一次，乙方须支付违约金500元。</w:t>
      </w:r>
    </w:p>
    <w:p w14:paraId="34F2EA89">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8.</w:t>
      </w:r>
      <w:r>
        <w:rPr>
          <w:rFonts w:hint="eastAsia" w:ascii="仿宋" w:hAnsi="仿宋" w:eastAsia="仿宋" w:cs="仿宋"/>
          <w:color w:val="auto"/>
          <w:sz w:val="20"/>
          <w:szCs w:val="20"/>
          <w:highlight w:val="none"/>
          <w:lang w:val="en-US" w:eastAsia="zh-CN"/>
        </w:rPr>
        <w:t>3</w:t>
      </w:r>
      <w:r>
        <w:rPr>
          <w:rFonts w:hint="eastAsia" w:ascii="仿宋" w:hAnsi="仿宋" w:eastAsia="仿宋" w:cs="仿宋"/>
          <w:color w:val="auto"/>
          <w:sz w:val="20"/>
          <w:szCs w:val="20"/>
          <w:highlight w:val="none"/>
        </w:rPr>
        <w:t>应配合甲方做好成本分析工作，并提交相关的分析报告及经济技术指标等。如乙方未按时、保质提供上述资料，则乙方须按每份资料3000元的标准向甲方承担违约责任。</w:t>
      </w:r>
    </w:p>
    <w:p w14:paraId="7D0053B1">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8.</w:t>
      </w:r>
      <w:r>
        <w:rPr>
          <w:rFonts w:hint="eastAsia" w:ascii="仿宋" w:hAnsi="仿宋" w:eastAsia="仿宋" w:cs="仿宋"/>
          <w:color w:val="auto"/>
          <w:sz w:val="20"/>
          <w:szCs w:val="20"/>
          <w:highlight w:val="none"/>
          <w:lang w:val="en-US" w:eastAsia="zh-CN"/>
        </w:rPr>
        <w:t>4</w:t>
      </w:r>
      <w:r>
        <w:rPr>
          <w:rFonts w:hint="eastAsia" w:ascii="仿宋" w:hAnsi="仿宋" w:eastAsia="仿宋" w:cs="仿宋"/>
          <w:color w:val="auto"/>
          <w:sz w:val="20"/>
          <w:szCs w:val="20"/>
          <w:highlight w:val="none"/>
        </w:rPr>
        <w:t>如乙方不按合同条款、甲方的要求执行，或报告质量等达不到甲方的要求，甲方有权勒令乙方整改，一切责任由乙方负责，如乙方未依照甲方进行整改的或虽已整改但无法满足甲方要求的，则甲方有权解除本合同，要求乙方返还甲方已支付的全部款项并向甲方支付本合同总价15%的违约金，如仍无法弥补甲方损失的，甲方有权继续追偿。</w:t>
      </w:r>
    </w:p>
    <w:p w14:paraId="05F9325E">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8.</w:t>
      </w:r>
      <w:r>
        <w:rPr>
          <w:rFonts w:hint="eastAsia" w:ascii="仿宋" w:hAnsi="仿宋" w:eastAsia="仿宋" w:cs="仿宋"/>
          <w:color w:val="auto"/>
          <w:sz w:val="20"/>
          <w:szCs w:val="20"/>
          <w:highlight w:val="none"/>
          <w:lang w:val="en-US" w:eastAsia="zh-CN"/>
        </w:rPr>
        <w:t>5</w:t>
      </w:r>
      <w:r>
        <w:rPr>
          <w:rFonts w:hint="eastAsia" w:ascii="仿宋" w:hAnsi="仿宋" w:eastAsia="仿宋" w:cs="仿宋"/>
          <w:color w:val="auto"/>
          <w:sz w:val="20"/>
          <w:szCs w:val="20"/>
          <w:highlight w:val="none"/>
        </w:rPr>
        <w:t>如果发现乙方的资料不能达到甲方的要求时，乙方须对所报资料进行整改、修正，直至符合甲方要求验收为止（乙方移交的计算底稿必须可复查性强、条理清楚、步骤清晰） 且最后一次修正稿的提交日为乙方提交工作成果</w:t>
      </w:r>
      <w:r>
        <w:rPr>
          <w:rFonts w:hint="eastAsia" w:ascii="仿宋" w:hAnsi="仿宋" w:eastAsia="仿宋" w:cs="仿宋"/>
          <w:color w:val="auto"/>
          <w:sz w:val="20"/>
          <w:szCs w:val="20"/>
          <w:highlight w:val="none"/>
        </w:rPr>
        <w:t>日。</w:t>
      </w:r>
    </w:p>
    <w:p w14:paraId="228A7833">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lang w:val="en-US"/>
        </w:rPr>
      </w:pPr>
      <w:r>
        <w:rPr>
          <w:rFonts w:hint="eastAsia" w:ascii="仿宋" w:hAnsi="仿宋" w:eastAsia="仿宋" w:cs="仿宋"/>
          <w:color w:val="auto"/>
          <w:sz w:val="20"/>
          <w:szCs w:val="20"/>
          <w:highlight w:val="none"/>
        </w:rPr>
        <w:t>8.</w:t>
      </w:r>
      <w:r>
        <w:rPr>
          <w:rFonts w:hint="eastAsia" w:ascii="仿宋" w:hAnsi="仿宋" w:eastAsia="仿宋" w:cs="仿宋"/>
          <w:color w:val="auto"/>
          <w:sz w:val="20"/>
          <w:szCs w:val="20"/>
          <w:highlight w:val="none"/>
          <w:lang w:val="en-US" w:eastAsia="zh-CN"/>
        </w:rPr>
        <w:t>6 招标人对施工总承包合同结算复审时，复审误差按以下办法处理：复审结果误差在±1.5%~3%（含3%），从本合同咨询费中扣除咨询合同价2%；复审结果误差在±3%~5%（含5%），从本合同咨询费中扣除咨询合同价5%。同时造价咨询单位审核质量给招标人或第三方造成经济损失的，造价咨询公司应承担赔偿责任。对有违法违规行为，报行业主管部门给予相应处罚。</w:t>
      </w:r>
    </w:p>
    <w:p w14:paraId="4B66233E">
      <w:pPr>
        <w:pStyle w:val="24"/>
        <w:shd w:val="clear"/>
        <w:spacing w:line="360" w:lineRule="auto"/>
        <w:rPr>
          <w:rFonts w:hint="eastAsia" w:ascii="仿宋" w:hAnsi="仿宋" w:eastAsia="仿宋" w:cs="仿宋"/>
          <w:color w:val="auto"/>
          <w:sz w:val="20"/>
          <w:szCs w:val="20"/>
          <w:highlight w:val="none"/>
        </w:rPr>
      </w:pPr>
    </w:p>
    <w:p w14:paraId="48FB6936">
      <w:pPr>
        <w:shd w:val="clear"/>
        <w:tabs>
          <w:tab w:val="left" w:pos="425"/>
          <w:tab w:val="left" w:pos="540"/>
        </w:tabs>
        <w:spacing w:line="360" w:lineRule="auto"/>
        <w:ind w:left="425" w:hanging="425"/>
        <w:jc w:val="left"/>
        <w:rPr>
          <w:rFonts w:hint="eastAsia" w:ascii="仿宋" w:hAnsi="仿宋" w:eastAsia="仿宋" w:cs="仿宋"/>
          <w:b/>
          <w:color w:val="auto"/>
          <w:sz w:val="20"/>
          <w:szCs w:val="20"/>
          <w:highlight w:val="none"/>
        </w:rPr>
      </w:pPr>
      <w:r>
        <w:rPr>
          <w:rFonts w:hint="eastAsia" w:ascii="仿宋" w:hAnsi="仿宋" w:eastAsia="仿宋" w:cs="仿宋"/>
          <w:b/>
          <w:color w:val="auto"/>
          <w:sz w:val="20"/>
          <w:szCs w:val="20"/>
          <w:highlight w:val="none"/>
        </w:rPr>
        <w:t>9.</w:t>
      </w:r>
      <w:r>
        <w:rPr>
          <w:rFonts w:hint="eastAsia" w:ascii="仿宋" w:hAnsi="仿宋" w:eastAsia="仿宋" w:cs="仿宋"/>
          <w:b/>
          <w:color w:val="auto"/>
          <w:sz w:val="20"/>
          <w:szCs w:val="20"/>
          <w:highlight w:val="none"/>
        </w:rPr>
        <w:tab/>
      </w:r>
      <w:r>
        <w:rPr>
          <w:rFonts w:hint="eastAsia" w:ascii="仿宋" w:hAnsi="仿宋" w:eastAsia="仿宋" w:cs="仿宋"/>
          <w:b/>
          <w:color w:val="auto"/>
          <w:sz w:val="20"/>
          <w:szCs w:val="20"/>
          <w:highlight w:val="none"/>
        </w:rPr>
        <w:t>保密条款</w:t>
      </w:r>
    </w:p>
    <w:p w14:paraId="445F451E">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9.1乙方未经甲方或其授权代表书面同意，不得将本合约各阶段形成的工作成果、文件资料及甲方和设计公司提供的图纸、资料泄露或交与任何第三者或其它项目使用。</w:t>
      </w:r>
    </w:p>
    <w:p w14:paraId="343B288A">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9.2乙方对标价和标底负保密责任，未经甲方书面同意不得向任何第三者泄密。</w:t>
      </w:r>
    </w:p>
    <w:p w14:paraId="74FA7562">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9.3乙方应遵守本合同约定的保密条款，并采取严格、有效的保密措施，若乙方违反保密条款，甲方有权终止合同，同时乙方应当在3日内返还甲方已支付的款项，并支付甲方违约金  伍 万元，赔偿甲方的损失（包括间接损失）。</w:t>
      </w:r>
    </w:p>
    <w:p w14:paraId="082D23F0">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b w:val="0"/>
          <w:bCs/>
          <w:color w:val="auto"/>
          <w:sz w:val="20"/>
          <w:szCs w:val="20"/>
          <w:highlight w:val="none"/>
        </w:rPr>
        <w:t>9.4</w:t>
      </w:r>
      <w:r>
        <w:rPr>
          <w:rFonts w:hint="eastAsia" w:ascii="仿宋" w:hAnsi="仿宋" w:eastAsia="仿宋" w:cs="仿宋"/>
          <w:color w:val="auto"/>
          <w:sz w:val="20"/>
          <w:szCs w:val="20"/>
          <w:highlight w:val="none"/>
        </w:rPr>
        <w:t xml:space="preserve"> 合同中的保密条款持续有效，不因合同解除、终止、撤销、无效或不成立等而免除或无效。</w:t>
      </w:r>
    </w:p>
    <w:p w14:paraId="1F60E5EE">
      <w:pPr>
        <w:shd w:val="clear"/>
        <w:tabs>
          <w:tab w:val="left" w:pos="425"/>
          <w:tab w:val="left" w:pos="540"/>
        </w:tabs>
        <w:spacing w:line="360" w:lineRule="auto"/>
        <w:ind w:left="425" w:hanging="425"/>
        <w:jc w:val="left"/>
        <w:rPr>
          <w:rFonts w:hint="eastAsia" w:ascii="仿宋" w:hAnsi="仿宋" w:eastAsia="仿宋" w:cs="仿宋"/>
          <w:b/>
          <w:color w:val="auto"/>
          <w:sz w:val="20"/>
          <w:szCs w:val="20"/>
          <w:highlight w:val="none"/>
        </w:rPr>
      </w:pPr>
      <w:r>
        <w:rPr>
          <w:rFonts w:hint="eastAsia" w:ascii="仿宋" w:hAnsi="仿宋" w:eastAsia="仿宋" w:cs="仿宋"/>
          <w:b/>
          <w:color w:val="auto"/>
          <w:sz w:val="20"/>
          <w:szCs w:val="20"/>
          <w:highlight w:val="none"/>
        </w:rPr>
        <w:t>10.</w:t>
      </w:r>
      <w:r>
        <w:rPr>
          <w:rFonts w:hint="eastAsia" w:ascii="仿宋" w:hAnsi="仿宋" w:eastAsia="仿宋" w:cs="仿宋"/>
          <w:b/>
          <w:color w:val="auto"/>
          <w:sz w:val="20"/>
          <w:szCs w:val="20"/>
          <w:highlight w:val="none"/>
        </w:rPr>
        <w:tab/>
      </w:r>
      <w:r>
        <w:rPr>
          <w:rFonts w:hint="eastAsia" w:ascii="仿宋" w:hAnsi="仿宋" w:eastAsia="仿宋" w:cs="仿宋"/>
          <w:b/>
          <w:color w:val="auto"/>
          <w:sz w:val="20"/>
          <w:szCs w:val="20"/>
          <w:highlight w:val="none"/>
        </w:rPr>
        <w:t>合同文件</w:t>
      </w:r>
    </w:p>
    <w:p w14:paraId="4AD84893">
      <w:pPr>
        <w:shd w:val="clear"/>
        <w:spacing w:line="360" w:lineRule="auto"/>
        <w:ind w:right="-22" w:firstLine="266" w:firstLineChars="133"/>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组成本合同的文件及解释合同文件的优先顺序如下：</w:t>
      </w:r>
    </w:p>
    <w:p w14:paraId="597DE8CD">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10.1本合同书及附件；</w:t>
      </w:r>
    </w:p>
    <w:p w14:paraId="24287D24">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10.2中标通知书及确认回执；</w:t>
      </w:r>
    </w:p>
    <w:p w14:paraId="39BB7A2D">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10.3投标文件；</w:t>
      </w:r>
    </w:p>
    <w:p w14:paraId="7A0F04C3">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10.4招标过程文件，包括招标疑问澄清、承诺函、补充招标文件等；</w:t>
      </w:r>
    </w:p>
    <w:p w14:paraId="796C229A">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10.5招标文件；</w:t>
      </w:r>
    </w:p>
    <w:p w14:paraId="0A729E43">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10.6廉政文件（包括廉政须知、廉政承诺书）</w:t>
      </w:r>
    </w:p>
    <w:p w14:paraId="44F563FE">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合同履行中，双方有关工程的洽商、变更、补充协议等书面协议或文件作为本合同的组成部分，并具有最高优先顺序，其中以签订时间在后的文件解释顺序优先。</w:t>
      </w:r>
    </w:p>
    <w:p w14:paraId="47251DB3">
      <w:pPr>
        <w:shd w:val="clear"/>
        <w:tabs>
          <w:tab w:val="left" w:pos="425"/>
          <w:tab w:val="left" w:pos="540"/>
        </w:tabs>
        <w:spacing w:line="360" w:lineRule="auto"/>
        <w:ind w:left="425" w:hanging="425"/>
        <w:jc w:val="left"/>
        <w:rPr>
          <w:rFonts w:hint="eastAsia" w:ascii="仿宋" w:hAnsi="仿宋" w:eastAsia="仿宋" w:cs="仿宋"/>
          <w:b/>
          <w:color w:val="auto"/>
          <w:sz w:val="20"/>
          <w:szCs w:val="20"/>
          <w:highlight w:val="none"/>
        </w:rPr>
      </w:pPr>
      <w:r>
        <w:rPr>
          <w:rFonts w:hint="eastAsia" w:ascii="仿宋" w:hAnsi="仿宋" w:eastAsia="仿宋" w:cs="仿宋"/>
          <w:b/>
          <w:color w:val="auto"/>
          <w:sz w:val="20"/>
          <w:szCs w:val="20"/>
          <w:highlight w:val="none"/>
        </w:rPr>
        <w:t>11.</w:t>
      </w:r>
      <w:r>
        <w:rPr>
          <w:rFonts w:hint="eastAsia" w:ascii="仿宋" w:hAnsi="仿宋" w:eastAsia="仿宋" w:cs="仿宋"/>
          <w:b/>
          <w:color w:val="auto"/>
          <w:sz w:val="20"/>
          <w:szCs w:val="20"/>
          <w:highlight w:val="none"/>
        </w:rPr>
        <w:tab/>
      </w:r>
      <w:r>
        <w:rPr>
          <w:rFonts w:hint="eastAsia" w:ascii="仿宋" w:hAnsi="仿宋" w:eastAsia="仿宋" w:cs="仿宋"/>
          <w:b/>
          <w:color w:val="auto"/>
          <w:sz w:val="20"/>
          <w:szCs w:val="20"/>
          <w:highlight w:val="none"/>
        </w:rPr>
        <w:t>终止、违约和赔偿</w:t>
      </w:r>
    </w:p>
    <w:p w14:paraId="761A2421">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11.1本项目的项目负责人（项目经理），未经甲方许可，不得随意更换，如特殊原因变更项目负责人（项目经理），需提前报经甲方同意。未经同意无故更换项目负责人（项目经理），每次支付违约金5000元。</w:t>
      </w:r>
    </w:p>
    <w:p w14:paraId="5F8BE554">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11.2乙方完成本合同约定的工作任务每逾期一天，乙方须按合同总价1%向甲方承担逾期违约责任。逾期超过10天，甲方有权单方解除本合同及有权追回已付款项，且乙方应按照合同总价的15%支付违约金。</w:t>
      </w:r>
    </w:p>
    <w:p w14:paraId="37A5CC2C">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11.3乙方不得擅自将本合同约定的工作内容转委托，一经发现，甲方将有权单方解除合同及有权追回已付合同款，且乙方须支付甲方违约金 壹拾 万元，如无法弥补甲方损失的，甲方有权继续追偿。</w:t>
      </w:r>
    </w:p>
    <w:p w14:paraId="6B6304DC">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11.4如甲方原因导致合同提前解除或终止，甲方应支付乙方在合同解除或终止前经甲方书面确认的已完工作的咨询费用。</w:t>
      </w:r>
    </w:p>
    <w:p w14:paraId="465BA04A">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11.5如乙方原因导致合同提前解除或终止，甲方不支付乙方在合同解除或终止前已完工作的咨询费用，如甲方已支付的则乙方应全额返还，并要求乙方承担合同总价的15%的违约金，如仍无法弥补甲方损失的，甲方有权继续追偿。</w:t>
      </w:r>
    </w:p>
    <w:p w14:paraId="3FD1B173">
      <w:pPr>
        <w:shd w:val="clear"/>
        <w:tabs>
          <w:tab w:val="left" w:pos="1145"/>
        </w:tabs>
        <w:snapToGrid w:val="0"/>
        <w:spacing w:line="360" w:lineRule="auto"/>
        <w:outlineLvl w:val="0"/>
        <w:rPr>
          <w:rFonts w:hint="eastAsia" w:ascii="仿宋" w:hAnsi="仿宋" w:eastAsia="仿宋" w:cs="仿宋"/>
          <w:b/>
          <w:color w:val="auto"/>
          <w:sz w:val="20"/>
          <w:szCs w:val="20"/>
          <w:highlight w:val="none"/>
        </w:rPr>
      </w:pPr>
      <w:r>
        <w:rPr>
          <w:rFonts w:hint="eastAsia" w:ascii="仿宋" w:hAnsi="仿宋" w:eastAsia="仿宋" w:cs="仿宋"/>
          <w:b/>
          <w:color w:val="auto"/>
          <w:sz w:val="20"/>
          <w:szCs w:val="20"/>
          <w:highlight w:val="none"/>
        </w:rPr>
        <w:t>12.不可抗力</w:t>
      </w:r>
    </w:p>
    <w:p w14:paraId="134237BE">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2"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b/>
          <w:color w:val="auto"/>
          <w:sz w:val="20"/>
          <w:szCs w:val="20"/>
          <w:highlight w:val="none"/>
        </w:rPr>
        <w:t>12.1</w:t>
      </w:r>
      <w:r>
        <w:rPr>
          <w:rFonts w:hint="eastAsia" w:ascii="仿宋" w:hAnsi="仿宋" w:eastAsia="仿宋" w:cs="仿宋"/>
          <w:color w:val="auto"/>
          <w:sz w:val="20"/>
          <w:szCs w:val="20"/>
          <w:highlight w:val="none"/>
        </w:rPr>
        <w:t>发生不可预见及不可抗力之因素如战争、地震、洪水、政治变局等致使合约不能履行或不能全部履行时，甲乙双方协商解决，不受合同违约和责任赔偿条款制约，甲方需付乙方于合同终止前之从事合约之责任应获的相应服务费。本条款所定义的不可抗力是指不能预见、不能避免并不能克服的客观情况，对于经营状况严重恶化、安排不周及税收政策的调整等情形，无论严重程度如何，均不理解为不可抗力。</w:t>
      </w:r>
    </w:p>
    <w:p w14:paraId="450ACC69">
      <w:pPr>
        <w:shd w:val="clear"/>
        <w:tabs>
          <w:tab w:val="left" w:pos="425"/>
          <w:tab w:val="left" w:pos="540"/>
        </w:tabs>
        <w:spacing w:line="360" w:lineRule="auto"/>
        <w:ind w:left="425" w:hanging="425"/>
        <w:jc w:val="left"/>
        <w:rPr>
          <w:rFonts w:hint="eastAsia" w:ascii="仿宋" w:hAnsi="仿宋" w:eastAsia="仿宋" w:cs="仿宋"/>
          <w:b/>
          <w:color w:val="auto"/>
          <w:sz w:val="20"/>
          <w:szCs w:val="20"/>
          <w:highlight w:val="none"/>
        </w:rPr>
      </w:pPr>
      <w:r>
        <w:rPr>
          <w:rFonts w:hint="eastAsia" w:ascii="仿宋" w:hAnsi="仿宋" w:eastAsia="仿宋" w:cs="仿宋"/>
          <w:b/>
          <w:color w:val="auto"/>
          <w:sz w:val="20"/>
          <w:szCs w:val="20"/>
          <w:highlight w:val="none"/>
        </w:rPr>
        <w:t>13.</w:t>
      </w:r>
      <w:r>
        <w:rPr>
          <w:rFonts w:hint="eastAsia" w:ascii="仿宋" w:hAnsi="仿宋" w:eastAsia="仿宋" w:cs="仿宋"/>
          <w:b/>
          <w:color w:val="auto"/>
          <w:sz w:val="20"/>
          <w:szCs w:val="20"/>
          <w:highlight w:val="none"/>
        </w:rPr>
        <w:tab/>
      </w:r>
      <w:r>
        <w:rPr>
          <w:rFonts w:hint="eastAsia" w:ascii="仿宋" w:hAnsi="仿宋" w:eastAsia="仿宋" w:cs="仿宋"/>
          <w:b/>
          <w:color w:val="auto"/>
          <w:sz w:val="20"/>
          <w:szCs w:val="20"/>
          <w:highlight w:val="none"/>
        </w:rPr>
        <w:t>争议解决条款</w:t>
      </w:r>
    </w:p>
    <w:p w14:paraId="3491EC3B">
      <w:pPr>
        <w:keepNext w:val="0"/>
        <w:keepLines w:val="0"/>
        <w:pageBreakBefore w:val="0"/>
        <w:widowControl w:val="0"/>
        <w:shd w:val="clear"/>
        <w:kinsoku/>
        <w:wordWrap/>
        <w:overflowPunct/>
        <w:topLinePunct w:val="0"/>
        <w:autoSpaceDE/>
        <w:autoSpaceDN/>
        <w:bidi w:val="0"/>
        <w:adjustRightInd/>
        <w:snapToGrid w:val="0"/>
        <w:spacing w:line="360" w:lineRule="auto"/>
        <w:ind w:firstLine="400"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凡因合同所引起的或与之相关的任何纷争，包括但不限于合同的存在、效力、解释、管辖、履行、终止、解除等，由双方协商解决，达不成一致意见时，任何一方均可向本项目地点所在地的人民法院提起诉讼。</w:t>
      </w:r>
    </w:p>
    <w:p w14:paraId="52A9CE3F">
      <w:pPr>
        <w:shd w:val="clear"/>
        <w:tabs>
          <w:tab w:val="left" w:pos="425"/>
          <w:tab w:val="left" w:pos="540"/>
        </w:tabs>
        <w:spacing w:line="360" w:lineRule="auto"/>
        <w:ind w:left="425" w:hanging="425"/>
        <w:jc w:val="left"/>
        <w:rPr>
          <w:rFonts w:hint="eastAsia" w:ascii="仿宋" w:hAnsi="仿宋" w:eastAsia="仿宋" w:cs="仿宋"/>
          <w:b/>
          <w:color w:val="auto"/>
          <w:sz w:val="20"/>
          <w:szCs w:val="20"/>
          <w:highlight w:val="none"/>
        </w:rPr>
      </w:pPr>
      <w:r>
        <w:rPr>
          <w:rFonts w:hint="eastAsia" w:ascii="仿宋" w:hAnsi="仿宋" w:eastAsia="仿宋" w:cs="仿宋"/>
          <w:b/>
          <w:color w:val="auto"/>
          <w:sz w:val="20"/>
          <w:szCs w:val="20"/>
          <w:highlight w:val="none"/>
        </w:rPr>
        <w:t>14.</w:t>
      </w:r>
      <w:r>
        <w:rPr>
          <w:rFonts w:hint="eastAsia" w:ascii="仿宋" w:hAnsi="仿宋" w:eastAsia="仿宋" w:cs="仿宋"/>
          <w:b/>
          <w:color w:val="auto"/>
          <w:sz w:val="20"/>
          <w:szCs w:val="20"/>
          <w:highlight w:val="none"/>
        </w:rPr>
        <w:tab/>
      </w:r>
      <w:r>
        <w:rPr>
          <w:rFonts w:hint="eastAsia" w:ascii="仿宋" w:hAnsi="仿宋" w:eastAsia="仿宋" w:cs="仿宋"/>
          <w:b/>
          <w:color w:val="auto"/>
          <w:sz w:val="20"/>
          <w:szCs w:val="20"/>
          <w:highlight w:val="none"/>
        </w:rPr>
        <w:t>送达条款</w:t>
      </w:r>
    </w:p>
    <w:p w14:paraId="7DAF95C8">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2"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b/>
          <w:color w:val="auto"/>
          <w:sz w:val="20"/>
          <w:szCs w:val="20"/>
          <w:highlight w:val="none"/>
        </w:rPr>
        <w:t>14.1</w:t>
      </w:r>
      <w:r>
        <w:rPr>
          <w:rFonts w:hint="eastAsia" w:ascii="仿宋" w:hAnsi="仿宋" w:eastAsia="仿宋" w:cs="仿宋"/>
          <w:color w:val="auto"/>
          <w:sz w:val="20"/>
          <w:szCs w:val="20"/>
          <w:highlight w:val="none"/>
        </w:rPr>
        <w:t>本合同一方按照本合同约定向另一方送达文件和通知，必须用书面形式，且采用邮寄送达或直接送达的方式，送达本合同所列另一方的地址或另一方以本条所述方式通知更改后的地址。如以邮寄送啊的方式，在投邮后（以寄出的邮戳为准）第3日将被视为已送达另一方，如以直接送达的方式送达，则于另一方签收时视为已送达。</w:t>
      </w:r>
    </w:p>
    <w:p w14:paraId="784BC176">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2"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b/>
          <w:color w:val="auto"/>
          <w:sz w:val="20"/>
          <w:szCs w:val="20"/>
          <w:highlight w:val="none"/>
        </w:rPr>
        <w:t>14.2</w:t>
      </w:r>
      <w:r>
        <w:rPr>
          <w:rFonts w:hint="eastAsia" w:ascii="仿宋" w:hAnsi="仿宋" w:eastAsia="仿宋" w:cs="仿宋"/>
          <w:color w:val="auto"/>
          <w:sz w:val="20"/>
          <w:szCs w:val="20"/>
          <w:highlight w:val="none"/>
        </w:rPr>
        <w:t>下述信息为合同双方确认的有效的联系信息，也是因本合同发生的争议、纠纷等提起诉讼或仲裁、申请公证执行时接受司法（仲裁、公证）机关送达司法（仲裁、公证）文书的地址。凡向下述地址投递寄送的文书，除能证明未送至该地址外，无论是否签收，均视为已送达。任何一方变更住所地址或另行确定送达地点的，均应书面告知对方；如因未及时告知而导致对方的任何通知或其它任何书面文件送达不能的，所产生的一切法律责任均由告知义务方承担。</w:t>
      </w:r>
    </w:p>
    <w:p w14:paraId="3EFA7B85">
      <w:pPr>
        <w:keepNext w:val="0"/>
        <w:keepLines w:val="0"/>
        <w:pageBreakBefore w:val="0"/>
        <w:widowControl w:val="0"/>
        <w:shd w:val="clear"/>
        <w:kinsoku/>
        <w:wordWrap/>
        <w:overflowPunct/>
        <w:topLinePunct w:val="0"/>
        <w:autoSpaceDE/>
        <w:autoSpaceDN/>
        <w:bidi w:val="0"/>
        <w:adjustRightInd/>
        <w:spacing w:line="360" w:lineRule="auto"/>
        <w:ind w:firstLine="400" w:firstLineChars="200"/>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甲方送达地址：</w:t>
      </w:r>
    </w:p>
    <w:p w14:paraId="38006765">
      <w:pPr>
        <w:keepNext w:val="0"/>
        <w:keepLines w:val="0"/>
        <w:pageBreakBefore w:val="0"/>
        <w:widowControl w:val="0"/>
        <w:shd w:val="clear"/>
        <w:kinsoku/>
        <w:wordWrap/>
        <w:overflowPunct/>
        <w:topLinePunct w:val="0"/>
        <w:autoSpaceDE/>
        <w:autoSpaceDN/>
        <w:bidi w:val="0"/>
        <w:adjustRightInd/>
        <w:spacing w:line="360" w:lineRule="auto"/>
        <w:ind w:firstLine="400" w:firstLineChars="200"/>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邮政编码：</w:t>
      </w:r>
    </w:p>
    <w:p w14:paraId="4D5BFEC8">
      <w:pPr>
        <w:keepNext w:val="0"/>
        <w:keepLines w:val="0"/>
        <w:pageBreakBefore w:val="0"/>
        <w:widowControl w:val="0"/>
        <w:shd w:val="clear"/>
        <w:kinsoku/>
        <w:wordWrap/>
        <w:overflowPunct/>
        <w:topLinePunct w:val="0"/>
        <w:autoSpaceDE/>
        <w:autoSpaceDN/>
        <w:bidi w:val="0"/>
        <w:adjustRightInd/>
        <w:spacing w:line="360" w:lineRule="auto"/>
        <w:ind w:firstLine="400" w:firstLineChars="200"/>
        <w:textAlignment w:val="auto"/>
        <w:rPr>
          <w:rFonts w:hint="eastAsia" w:ascii="仿宋" w:hAnsi="仿宋" w:eastAsia="仿宋" w:cs="仿宋"/>
          <w:color w:val="auto"/>
          <w:sz w:val="20"/>
          <w:szCs w:val="20"/>
          <w:highlight w:val="none"/>
          <w:u w:val="single"/>
        </w:rPr>
      </w:pPr>
      <w:r>
        <w:rPr>
          <w:rFonts w:hint="eastAsia" w:ascii="仿宋" w:hAnsi="仿宋" w:eastAsia="仿宋" w:cs="仿宋"/>
          <w:color w:val="auto"/>
          <w:sz w:val="20"/>
          <w:szCs w:val="20"/>
          <w:highlight w:val="none"/>
        </w:rPr>
        <w:t>联系人：</w:t>
      </w:r>
      <w:r>
        <w:rPr>
          <w:rFonts w:hint="eastAsia" w:ascii="仿宋" w:hAnsi="仿宋" w:eastAsia="仿宋" w:cs="仿宋"/>
          <w:color w:val="auto"/>
          <w:sz w:val="20"/>
          <w:szCs w:val="20"/>
          <w:highlight w:val="none"/>
          <w:u w:val="single"/>
        </w:rPr>
        <w:t xml:space="preserve">          </w:t>
      </w:r>
    </w:p>
    <w:p w14:paraId="1AA95A4E">
      <w:pPr>
        <w:keepNext w:val="0"/>
        <w:keepLines w:val="0"/>
        <w:pageBreakBefore w:val="0"/>
        <w:widowControl w:val="0"/>
        <w:shd w:val="clear"/>
        <w:kinsoku/>
        <w:wordWrap/>
        <w:overflowPunct/>
        <w:topLinePunct w:val="0"/>
        <w:autoSpaceDE/>
        <w:autoSpaceDN/>
        <w:bidi w:val="0"/>
        <w:adjustRightInd/>
        <w:spacing w:line="360" w:lineRule="auto"/>
        <w:ind w:firstLine="400" w:firstLineChars="200"/>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电话：</w:t>
      </w:r>
      <w:r>
        <w:rPr>
          <w:rFonts w:hint="eastAsia" w:ascii="仿宋" w:hAnsi="仿宋" w:eastAsia="仿宋" w:cs="仿宋"/>
          <w:color w:val="auto"/>
          <w:sz w:val="20"/>
          <w:szCs w:val="20"/>
          <w:highlight w:val="none"/>
          <w:u w:val="single"/>
        </w:rPr>
        <w:tab/>
      </w:r>
      <w:r>
        <w:rPr>
          <w:rFonts w:hint="eastAsia" w:ascii="仿宋" w:hAnsi="仿宋" w:eastAsia="仿宋" w:cs="仿宋"/>
          <w:color w:val="auto"/>
          <w:sz w:val="20"/>
          <w:szCs w:val="20"/>
          <w:highlight w:val="none"/>
          <w:u w:val="single"/>
        </w:rPr>
        <w:t xml:space="preserve">          </w:t>
      </w:r>
    </w:p>
    <w:p w14:paraId="604E68A1">
      <w:pPr>
        <w:keepNext w:val="0"/>
        <w:keepLines w:val="0"/>
        <w:pageBreakBefore w:val="0"/>
        <w:widowControl w:val="0"/>
        <w:shd w:val="clear"/>
        <w:kinsoku/>
        <w:wordWrap/>
        <w:overflowPunct/>
        <w:topLinePunct w:val="0"/>
        <w:autoSpaceDE/>
        <w:autoSpaceDN/>
        <w:bidi w:val="0"/>
        <w:adjustRightInd/>
        <w:spacing w:line="360" w:lineRule="auto"/>
        <w:ind w:firstLine="400" w:firstLineChars="200"/>
        <w:textAlignment w:val="auto"/>
        <w:rPr>
          <w:rFonts w:hint="eastAsia" w:ascii="仿宋" w:hAnsi="仿宋" w:eastAsia="仿宋" w:cs="仿宋"/>
          <w:color w:val="auto"/>
          <w:sz w:val="20"/>
          <w:szCs w:val="20"/>
          <w:highlight w:val="none"/>
          <w:u w:val="single"/>
        </w:rPr>
      </w:pPr>
      <w:r>
        <w:rPr>
          <w:rFonts w:hint="eastAsia" w:ascii="仿宋" w:hAnsi="仿宋" w:eastAsia="仿宋" w:cs="仿宋"/>
          <w:color w:val="auto"/>
          <w:sz w:val="20"/>
          <w:szCs w:val="20"/>
          <w:highlight w:val="none"/>
        </w:rPr>
        <w:t>乙方送达地址：</w:t>
      </w:r>
    </w:p>
    <w:p w14:paraId="5219BDBB">
      <w:pPr>
        <w:keepNext w:val="0"/>
        <w:keepLines w:val="0"/>
        <w:pageBreakBefore w:val="0"/>
        <w:widowControl w:val="0"/>
        <w:shd w:val="clear"/>
        <w:kinsoku/>
        <w:wordWrap/>
        <w:overflowPunct/>
        <w:topLinePunct w:val="0"/>
        <w:autoSpaceDE/>
        <w:autoSpaceDN/>
        <w:bidi w:val="0"/>
        <w:adjustRightInd/>
        <w:spacing w:line="360" w:lineRule="auto"/>
        <w:ind w:firstLine="400" w:firstLineChars="200"/>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邮政编码：</w:t>
      </w:r>
    </w:p>
    <w:p w14:paraId="491D4E40">
      <w:pPr>
        <w:keepNext w:val="0"/>
        <w:keepLines w:val="0"/>
        <w:pageBreakBefore w:val="0"/>
        <w:widowControl w:val="0"/>
        <w:shd w:val="clear"/>
        <w:kinsoku/>
        <w:wordWrap/>
        <w:overflowPunct/>
        <w:topLinePunct w:val="0"/>
        <w:autoSpaceDE/>
        <w:autoSpaceDN/>
        <w:bidi w:val="0"/>
        <w:adjustRightInd/>
        <w:spacing w:line="360" w:lineRule="auto"/>
        <w:ind w:firstLine="400" w:firstLineChars="200"/>
        <w:textAlignment w:val="auto"/>
        <w:rPr>
          <w:rFonts w:hint="eastAsia" w:ascii="仿宋" w:hAnsi="仿宋" w:eastAsia="仿宋" w:cs="仿宋"/>
          <w:color w:val="auto"/>
          <w:sz w:val="20"/>
          <w:szCs w:val="20"/>
          <w:highlight w:val="none"/>
          <w:u w:val="single"/>
        </w:rPr>
      </w:pPr>
      <w:r>
        <w:rPr>
          <w:rFonts w:hint="eastAsia" w:ascii="仿宋" w:hAnsi="仿宋" w:eastAsia="仿宋" w:cs="仿宋"/>
          <w:color w:val="auto"/>
          <w:sz w:val="20"/>
          <w:szCs w:val="20"/>
          <w:highlight w:val="none"/>
        </w:rPr>
        <w:t>联系人：</w:t>
      </w:r>
    </w:p>
    <w:p w14:paraId="76672083">
      <w:pPr>
        <w:shd w:val="clear"/>
        <w:tabs>
          <w:tab w:val="left" w:pos="425"/>
          <w:tab w:val="left" w:pos="540"/>
        </w:tabs>
        <w:spacing w:line="360" w:lineRule="auto"/>
        <w:ind w:left="425" w:hanging="425"/>
        <w:jc w:val="left"/>
        <w:rPr>
          <w:rFonts w:hint="eastAsia" w:ascii="仿宋" w:hAnsi="仿宋" w:eastAsia="仿宋" w:cs="仿宋"/>
          <w:b/>
          <w:color w:val="auto"/>
          <w:sz w:val="20"/>
          <w:szCs w:val="20"/>
          <w:highlight w:val="none"/>
        </w:rPr>
      </w:pPr>
      <w:r>
        <w:rPr>
          <w:rFonts w:hint="eastAsia" w:ascii="仿宋" w:hAnsi="仿宋" w:eastAsia="仿宋" w:cs="仿宋"/>
          <w:b/>
          <w:color w:val="auto"/>
          <w:sz w:val="20"/>
          <w:szCs w:val="20"/>
          <w:highlight w:val="none"/>
        </w:rPr>
        <w:t>15.</w:t>
      </w:r>
      <w:r>
        <w:rPr>
          <w:rFonts w:hint="eastAsia" w:ascii="仿宋" w:hAnsi="仿宋" w:eastAsia="仿宋" w:cs="仿宋"/>
          <w:b/>
          <w:color w:val="auto"/>
          <w:sz w:val="20"/>
          <w:szCs w:val="20"/>
          <w:highlight w:val="none"/>
        </w:rPr>
        <w:tab/>
      </w:r>
      <w:r>
        <w:rPr>
          <w:rFonts w:hint="eastAsia" w:ascii="仿宋" w:hAnsi="仿宋" w:eastAsia="仿宋" w:cs="仿宋"/>
          <w:b/>
          <w:color w:val="auto"/>
          <w:sz w:val="20"/>
          <w:szCs w:val="20"/>
          <w:highlight w:val="none"/>
        </w:rPr>
        <w:t>其它</w:t>
      </w:r>
    </w:p>
    <w:p w14:paraId="0CE7F288">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2"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b/>
          <w:color w:val="auto"/>
          <w:sz w:val="20"/>
          <w:szCs w:val="20"/>
          <w:highlight w:val="none"/>
        </w:rPr>
        <w:t>15.1</w:t>
      </w:r>
      <w:r>
        <w:rPr>
          <w:rFonts w:hint="eastAsia" w:ascii="仿宋" w:hAnsi="仿宋" w:eastAsia="仿宋" w:cs="仿宋"/>
          <w:color w:val="auto"/>
          <w:sz w:val="20"/>
          <w:szCs w:val="20"/>
          <w:highlight w:val="none"/>
        </w:rPr>
        <w:t>合同订立时间：________年______月_______日。</w:t>
      </w:r>
    </w:p>
    <w:p w14:paraId="2B5FF920">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2"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b/>
          <w:color w:val="auto"/>
          <w:sz w:val="20"/>
          <w:szCs w:val="20"/>
          <w:highlight w:val="none"/>
        </w:rPr>
        <w:t>15.2</w:t>
      </w:r>
      <w:r>
        <w:rPr>
          <w:rFonts w:hint="eastAsia" w:ascii="仿宋" w:hAnsi="仿宋" w:eastAsia="仿宋" w:cs="仿宋"/>
          <w:color w:val="auto"/>
          <w:sz w:val="20"/>
          <w:szCs w:val="20"/>
          <w:highlight w:val="none"/>
        </w:rPr>
        <w:t>本合同自双方盖章后生效，待全部造价咨询工作完成，即双方履行完职责后终止。本合同如有未尽事宜，需经双方共同协商，签订补充协议。补充协议与本合同具有同等法律效力，且不一致处以补充协议为准。</w:t>
      </w:r>
    </w:p>
    <w:p w14:paraId="643BE09F">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2"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b/>
          <w:color w:val="auto"/>
          <w:sz w:val="20"/>
          <w:szCs w:val="20"/>
          <w:highlight w:val="none"/>
        </w:rPr>
        <w:t>15.3</w:t>
      </w:r>
      <w:r>
        <w:rPr>
          <w:rFonts w:hint="eastAsia" w:ascii="仿宋" w:hAnsi="仿宋" w:eastAsia="仿宋" w:cs="仿宋"/>
          <w:color w:val="auto"/>
          <w:sz w:val="20"/>
          <w:szCs w:val="20"/>
          <w:highlight w:val="none"/>
        </w:rPr>
        <w:t>本合同一式陆份，甲方执肆份，乙方执贰份，具有同等的法律效力。</w:t>
      </w:r>
    </w:p>
    <w:p w14:paraId="5860282F">
      <w:pPr>
        <w:keepNext w:val="0"/>
        <w:keepLines w:val="0"/>
        <w:pageBreakBefore w:val="0"/>
        <w:widowControl w:val="0"/>
        <w:shd w:val="clear"/>
        <w:tabs>
          <w:tab w:val="left" w:pos="1145"/>
        </w:tabs>
        <w:kinsoku/>
        <w:wordWrap/>
        <w:overflowPunct/>
        <w:topLinePunct w:val="0"/>
        <w:autoSpaceDE/>
        <w:autoSpaceDN/>
        <w:bidi w:val="0"/>
        <w:adjustRightInd/>
        <w:snapToGrid w:val="0"/>
        <w:spacing w:line="360" w:lineRule="auto"/>
        <w:ind w:firstLine="402" w:firstLineChars="200"/>
        <w:textAlignment w:val="auto"/>
        <w:outlineLvl w:val="0"/>
        <w:rPr>
          <w:rFonts w:hint="eastAsia" w:ascii="仿宋" w:hAnsi="仿宋" w:eastAsia="仿宋" w:cs="仿宋"/>
          <w:color w:val="auto"/>
          <w:sz w:val="20"/>
          <w:szCs w:val="20"/>
          <w:highlight w:val="none"/>
        </w:rPr>
      </w:pPr>
      <w:r>
        <w:rPr>
          <w:rFonts w:hint="eastAsia" w:ascii="仿宋" w:hAnsi="仿宋" w:eastAsia="仿宋" w:cs="仿宋"/>
          <w:b/>
          <w:color w:val="auto"/>
          <w:sz w:val="20"/>
          <w:szCs w:val="20"/>
          <w:highlight w:val="none"/>
        </w:rPr>
        <w:t>15.4</w:t>
      </w:r>
      <w:r>
        <w:rPr>
          <w:rFonts w:hint="eastAsia" w:ascii="仿宋" w:hAnsi="仿宋" w:eastAsia="仿宋" w:cs="仿宋"/>
          <w:color w:val="auto"/>
          <w:sz w:val="20"/>
          <w:szCs w:val="20"/>
          <w:highlight w:val="none"/>
        </w:rPr>
        <w:t xml:space="preserve">其他约定：                                      </w:t>
      </w:r>
    </w:p>
    <w:p w14:paraId="4837AA3A">
      <w:pPr>
        <w:shd w:val="clear"/>
        <w:spacing w:line="360" w:lineRule="auto"/>
        <w:jc w:val="left"/>
        <w:rPr>
          <w:rFonts w:hint="eastAsia" w:ascii="仿宋" w:hAnsi="仿宋" w:eastAsia="仿宋" w:cs="仿宋"/>
          <w:b/>
          <w:color w:val="auto"/>
          <w:sz w:val="20"/>
          <w:szCs w:val="20"/>
          <w:highlight w:val="none"/>
        </w:rPr>
      </w:pPr>
      <w:r>
        <w:rPr>
          <w:rFonts w:hint="eastAsia" w:ascii="仿宋" w:hAnsi="仿宋" w:eastAsia="仿宋" w:cs="仿宋"/>
          <w:b/>
          <w:color w:val="auto"/>
          <w:sz w:val="20"/>
          <w:szCs w:val="20"/>
          <w:highlight w:val="none"/>
        </w:rPr>
        <w:t>16.附件</w:t>
      </w:r>
    </w:p>
    <w:p w14:paraId="12704B33">
      <w:pPr>
        <w:keepNext w:val="0"/>
        <w:keepLines w:val="0"/>
        <w:pageBreakBefore w:val="0"/>
        <w:widowControl w:val="0"/>
        <w:shd w:val="clear"/>
        <w:kinsoku/>
        <w:wordWrap/>
        <w:overflowPunct/>
        <w:topLinePunct w:val="0"/>
        <w:autoSpaceDE/>
        <w:autoSpaceDN/>
        <w:bidi w:val="0"/>
        <w:adjustRightInd/>
        <w:spacing w:line="360" w:lineRule="auto"/>
        <w:ind w:firstLine="400" w:firstLineChars="20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附件一：《造价咨询服务报价单》</w:t>
      </w:r>
    </w:p>
    <w:p w14:paraId="28215011">
      <w:pPr>
        <w:keepNext w:val="0"/>
        <w:keepLines w:val="0"/>
        <w:pageBreakBefore w:val="0"/>
        <w:widowControl w:val="0"/>
        <w:shd w:val="clear"/>
        <w:kinsoku/>
        <w:wordWrap/>
        <w:overflowPunct/>
        <w:topLinePunct w:val="0"/>
        <w:autoSpaceDE/>
        <w:autoSpaceDN/>
        <w:bidi w:val="0"/>
        <w:adjustRightInd/>
        <w:spacing w:line="360" w:lineRule="auto"/>
        <w:ind w:firstLine="400" w:firstLineChars="20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附件</w:t>
      </w:r>
      <w:r>
        <w:rPr>
          <w:rFonts w:hint="eastAsia" w:ascii="仿宋" w:hAnsi="仿宋" w:eastAsia="仿宋" w:cs="仿宋"/>
          <w:color w:val="auto"/>
          <w:sz w:val="20"/>
          <w:szCs w:val="20"/>
          <w:highlight w:val="none"/>
          <w:lang w:val="en-US" w:eastAsia="zh-CN"/>
        </w:rPr>
        <w:t>二</w:t>
      </w:r>
      <w:r>
        <w:rPr>
          <w:rFonts w:hint="eastAsia" w:ascii="仿宋" w:hAnsi="仿宋" w:eastAsia="仿宋" w:cs="仿宋"/>
          <w:color w:val="auto"/>
          <w:sz w:val="20"/>
          <w:szCs w:val="20"/>
          <w:highlight w:val="none"/>
        </w:rPr>
        <w:t>：《造价咨询服务完成时间表》</w:t>
      </w:r>
    </w:p>
    <w:p w14:paraId="6811031A">
      <w:pPr>
        <w:keepNext w:val="0"/>
        <w:keepLines w:val="0"/>
        <w:pageBreakBefore w:val="0"/>
        <w:widowControl w:val="0"/>
        <w:shd w:val="clear"/>
        <w:kinsoku/>
        <w:wordWrap/>
        <w:overflowPunct/>
        <w:topLinePunct w:val="0"/>
        <w:autoSpaceDE/>
        <w:autoSpaceDN/>
        <w:bidi w:val="0"/>
        <w:adjustRightInd/>
        <w:snapToGrid w:val="0"/>
        <w:spacing w:line="360" w:lineRule="auto"/>
        <w:ind w:firstLine="400" w:firstLineChars="200"/>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附件</w:t>
      </w:r>
      <w:r>
        <w:rPr>
          <w:rFonts w:hint="eastAsia" w:ascii="仿宋" w:hAnsi="仿宋" w:eastAsia="仿宋" w:cs="仿宋"/>
          <w:color w:val="auto"/>
          <w:sz w:val="20"/>
          <w:szCs w:val="20"/>
          <w:highlight w:val="none"/>
          <w:lang w:val="en-US" w:eastAsia="zh-CN"/>
        </w:rPr>
        <w:t>三</w:t>
      </w:r>
      <w:r>
        <w:rPr>
          <w:rFonts w:hint="eastAsia" w:ascii="仿宋" w:hAnsi="仿宋" w:eastAsia="仿宋" w:cs="仿宋"/>
          <w:color w:val="auto"/>
          <w:sz w:val="20"/>
          <w:szCs w:val="20"/>
          <w:highlight w:val="none"/>
        </w:rPr>
        <w:t>：《造价咨询公司及项目小组成员情况》</w:t>
      </w:r>
    </w:p>
    <w:p w14:paraId="0931EBE5">
      <w:pPr>
        <w:keepNext w:val="0"/>
        <w:keepLines w:val="0"/>
        <w:pageBreakBefore w:val="0"/>
        <w:widowControl w:val="0"/>
        <w:shd w:val="clear"/>
        <w:kinsoku/>
        <w:wordWrap/>
        <w:overflowPunct/>
        <w:topLinePunct w:val="0"/>
        <w:autoSpaceDE/>
        <w:autoSpaceDN/>
        <w:bidi w:val="0"/>
        <w:adjustRightInd/>
        <w:snapToGrid w:val="0"/>
        <w:spacing w:line="360" w:lineRule="auto"/>
        <w:ind w:firstLine="400" w:firstLineChars="200"/>
        <w:outlineLvl w:val="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（以下无正文）</w:t>
      </w:r>
    </w:p>
    <w:p w14:paraId="32A4A7F8">
      <w:pPr>
        <w:keepNext w:val="0"/>
        <w:keepLines w:val="0"/>
        <w:pageBreakBefore w:val="0"/>
        <w:widowControl w:val="0"/>
        <w:shd w:val="clear"/>
        <w:kinsoku/>
        <w:wordWrap/>
        <w:overflowPunct/>
        <w:topLinePunct w:val="0"/>
        <w:autoSpaceDE/>
        <w:autoSpaceDN/>
        <w:bidi w:val="0"/>
        <w:adjustRightInd/>
        <w:snapToGrid w:val="0"/>
        <w:spacing w:line="360" w:lineRule="auto"/>
        <w:ind w:firstLine="400" w:firstLineChars="200"/>
        <w:outlineLvl w:val="0"/>
        <w:rPr>
          <w:rFonts w:hint="eastAsia" w:ascii="仿宋" w:hAnsi="仿宋" w:eastAsia="仿宋" w:cs="仿宋"/>
          <w:color w:val="auto"/>
          <w:sz w:val="20"/>
          <w:szCs w:val="20"/>
          <w:highlight w:val="none"/>
        </w:rPr>
      </w:pPr>
    </w:p>
    <w:p w14:paraId="00FD172E">
      <w:pPr>
        <w:keepNext w:val="0"/>
        <w:keepLines w:val="0"/>
        <w:pageBreakBefore w:val="0"/>
        <w:widowControl w:val="0"/>
        <w:shd w:val="clear"/>
        <w:kinsoku/>
        <w:wordWrap/>
        <w:overflowPunct/>
        <w:topLinePunct w:val="0"/>
        <w:autoSpaceDE/>
        <w:autoSpaceDN/>
        <w:bidi w:val="0"/>
        <w:adjustRightInd/>
        <w:spacing w:before="48" w:beforeLines="20" w:after="48" w:afterLines="20" w:line="360" w:lineRule="auto"/>
        <w:ind w:firstLine="400" w:firstLineChars="200"/>
        <w:textAlignment w:val="bottom"/>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甲    方： </w:t>
      </w:r>
      <w:r>
        <w:rPr>
          <w:rFonts w:hint="eastAsia" w:ascii="仿宋" w:hAnsi="仿宋" w:eastAsia="仿宋" w:cs="仿宋"/>
          <w:color w:val="auto"/>
          <w:sz w:val="20"/>
          <w:szCs w:val="20"/>
          <w:highlight w:val="none"/>
          <w:lang w:val="en-US" w:eastAsia="zh-CN"/>
        </w:rPr>
        <w:t xml:space="preserve">                        </w:t>
      </w:r>
      <w:r>
        <w:rPr>
          <w:rFonts w:hint="eastAsia" w:ascii="仿宋" w:hAnsi="仿宋" w:eastAsia="仿宋" w:cs="仿宋"/>
          <w:color w:val="auto"/>
          <w:sz w:val="20"/>
          <w:szCs w:val="20"/>
          <w:highlight w:val="none"/>
        </w:rPr>
        <w:t xml:space="preserve">    乙    方：</w:t>
      </w:r>
    </w:p>
    <w:p w14:paraId="7978FA14">
      <w:pPr>
        <w:keepNext w:val="0"/>
        <w:keepLines w:val="0"/>
        <w:pageBreakBefore w:val="0"/>
        <w:widowControl w:val="0"/>
        <w:shd w:val="clear"/>
        <w:kinsoku/>
        <w:wordWrap/>
        <w:overflowPunct/>
        <w:topLinePunct w:val="0"/>
        <w:autoSpaceDE/>
        <w:autoSpaceDN/>
        <w:bidi w:val="0"/>
        <w:adjustRightInd/>
        <w:spacing w:before="48" w:beforeLines="20" w:after="48" w:afterLines="20" w:line="360" w:lineRule="auto"/>
        <w:ind w:firstLine="400" w:firstLineChars="200"/>
        <w:textAlignment w:val="bottom"/>
        <w:rPr>
          <w:rFonts w:hint="eastAsia" w:ascii="仿宋" w:hAnsi="仿宋" w:eastAsia="仿宋" w:cs="仿宋"/>
          <w:color w:val="auto"/>
          <w:sz w:val="20"/>
          <w:szCs w:val="20"/>
          <w:highlight w:val="none"/>
        </w:rPr>
      </w:pPr>
    </w:p>
    <w:p w14:paraId="5435D65A">
      <w:pPr>
        <w:keepNext w:val="0"/>
        <w:keepLines w:val="0"/>
        <w:pageBreakBefore w:val="0"/>
        <w:widowControl w:val="0"/>
        <w:shd w:val="clear"/>
        <w:kinsoku/>
        <w:wordWrap/>
        <w:overflowPunct/>
        <w:topLinePunct w:val="0"/>
        <w:autoSpaceDE/>
        <w:autoSpaceDN/>
        <w:bidi w:val="0"/>
        <w:adjustRightInd/>
        <w:spacing w:before="48" w:beforeLines="20" w:after="48" w:afterLines="20" w:line="360" w:lineRule="auto"/>
        <w:ind w:firstLine="400" w:firstLineChars="200"/>
        <w:textAlignment w:val="bottom"/>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法人代表                               法人代表  </w:t>
      </w:r>
    </w:p>
    <w:p w14:paraId="38B953B8">
      <w:pPr>
        <w:keepNext w:val="0"/>
        <w:keepLines w:val="0"/>
        <w:pageBreakBefore w:val="0"/>
        <w:widowControl w:val="0"/>
        <w:shd w:val="clear"/>
        <w:kinsoku/>
        <w:wordWrap/>
        <w:overflowPunct/>
        <w:topLinePunct w:val="0"/>
        <w:autoSpaceDE/>
        <w:autoSpaceDN/>
        <w:bidi w:val="0"/>
        <w:adjustRightInd/>
        <w:spacing w:before="48" w:beforeLines="20" w:after="48" w:afterLines="20" w:line="360" w:lineRule="auto"/>
        <w:ind w:firstLine="400" w:firstLineChars="200"/>
        <w:textAlignment w:val="bottom"/>
        <w:rPr>
          <w:rFonts w:hint="eastAsia" w:ascii="仿宋" w:hAnsi="仿宋" w:eastAsia="仿宋" w:cs="仿宋"/>
          <w:color w:val="auto"/>
          <w:sz w:val="20"/>
          <w:szCs w:val="20"/>
          <w:highlight w:val="none"/>
          <w:lang w:eastAsia="zh-CN"/>
        </w:rPr>
        <w:sectPr>
          <w:footerReference r:id="rId7" w:type="default"/>
          <w:pgSz w:w="11906" w:h="16838"/>
          <w:pgMar w:top="851" w:right="991" w:bottom="993" w:left="993" w:header="851" w:footer="447" w:gutter="0"/>
          <w:pgNumType w:fmt="decimal"/>
          <w:cols w:space="720" w:num="1"/>
          <w:docGrid w:linePitch="312" w:charSpace="0"/>
        </w:sectPr>
      </w:pPr>
      <w:r>
        <w:rPr>
          <w:rFonts w:hint="eastAsia" w:ascii="仿宋" w:hAnsi="仿宋" w:eastAsia="仿宋" w:cs="仿宋"/>
          <w:color w:val="auto"/>
          <w:sz w:val="20"/>
          <w:szCs w:val="20"/>
          <w:highlight w:val="none"/>
        </w:rPr>
        <w:t>或授托人：                             或授托人</w:t>
      </w:r>
      <w:r>
        <w:rPr>
          <w:rFonts w:hint="eastAsia" w:ascii="仿宋" w:hAnsi="仿宋" w:eastAsia="仿宋" w:cs="仿宋"/>
          <w:color w:val="auto"/>
          <w:sz w:val="20"/>
          <w:szCs w:val="20"/>
          <w:highlight w:val="none"/>
          <w:lang w:eastAsia="zh-CN"/>
        </w:rPr>
        <w:t>：</w:t>
      </w:r>
    </w:p>
    <w:p w14:paraId="24F485B5">
      <w:pPr>
        <w:shd w:val="clea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第六章  响应文件格式</w:t>
      </w:r>
      <w:bookmarkEnd w:id="45"/>
      <w:bookmarkEnd w:id="46"/>
    </w:p>
    <w:p w14:paraId="4562E3ED">
      <w:pPr>
        <w:shd w:val="clear"/>
        <w:spacing w:line="900" w:lineRule="exact"/>
        <w:jc w:val="center"/>
        <w:rPr>
          <w:rFonts w:asciiTheme="minorEastAsia" w:hAnsiTheme="minorEastAsia" w:eastAsiaTheme="minorEastAsia"/>
          <w:b/>
          <w:color w:val="auto"/>
          <w:sz w:val="72"/>
          <w:highlight w:val="none"/>
        </w:rPr>
      </w:pPr>
    </w:p>
    <w:p w14:paraId="7A1B661F">
      <w:pPr>
        <w:shd w:val="clea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7C24CE60">
      <w:pPr>
        <w:shd w:val="clear"/>
        <w:spacing w:line="900" w:lineRule="exact"/>
        <w:jc w:val="center"/>
        <w:rPr>
          <w:rFonts w:asciiTheme="minorEastAsia" w:hAnsiTheme="minorEastAsia" w:eastAsiaTheme="minorEastAsia"/>
          <w:b/>
          <w:color w:val="auto"/>
          <w:sz w:val="72"/>
          <w:highlight w:val="none"/>
        </w:rPr>
      </w:pPr>
    </w:p>
    <w:p w14:paraId="4A95CE39">
      <w:pPr>
        <w:shd w:val="clea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1A26AE78">
      <w:pPr>
        <w:shd w:val="clear"/>
        <w:spacing w:line="900" w:lineRule="exact"/>
        <w:jc w:val="center"/>
        <w:rPr>
          <w:rFonts w:asciiTheme="minorEastAsia" w:hAnsiTheme="minorEastAsia" w:eastAsiaTheme="minorEastAsia"/>
          <w:b/>
          <w:color w:val="auto"/>
          <w:sz w:val="72"/>
          <w:highlight w:val="none"/>
        </w:rPr>
      </w:pPr>
    </w:p>
    <w:p w14:paraId="7FF523AE">
      <w:pPr>
        <w:shd w:val="clea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01B476F6">
      <w:pPr>
        <w:shd w:val="clear"/>
        <w:spacing w:line="900" w:lineRule="exact"/>
        <w:jc w:val="center"/>
        <w:rPr>
          <w:rFonts w:asciiTheme="minorEastAsia" w:hAnsiTheme="minorEastAsia" w:eastAsiaTheme="minorEastAsia"/>
          <w:b/>
          <w:color w:val="auto"/>
          <w:sz w:val="72"/>
          <w:highlight w:val="none"/>
        </w:rPr>
      </w:pPr>
    </w:p>
    <w:p w14:paraId="5E95C2A0">
      <w:pPr>
        <w:shd w:val="clea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52CAF7C2">
      <w:pPr>
        <w:shd w:val="clear"/>
        <w:spacing w:after="120" w:afterLines="50" w:line="500" w:lineRule="exact"/>
        <w:rPr>
          <w:rFonts w:asciiTheme="minorEastAsia" w:hAnsiTheme="minorEastAsia" w:eastAsiaTheme="minorEastAsia"/>
          <w:b/>
          <w:color w:val="auto"/>
          <w:sz w:val="72"/>
          <w:highlight w:val="none"/>
        </w:rPr>
      </w:pPr>
    </w:p>
    <w:p w14:paraId="2D3CE09B">
      <w:pPr>
        <w:shd w:val="clear"/>
        <w:spacing w:after="120" w:afterLines="50" w:line="500" w:lineRule="exact"/>
        <w:jc w:val="center"/>
        <w:rPr>
          <w:rFonts w:asciiTheme="minorEastAsia" w:hAnsiTheme="minorEastAsia" w:eastAsiaTheme="minorEastAsia"/>
          <w:b/>
          <w:color w:val="auto"/>
          <w:sz w:val="28"/>
          <w:szCs w:val="28"/>
          <w:highlight w:val="none"/>
        </w:rPr>
      </w:pPr>
    </w:p>
    <w:p w14:paraId="0982D3ED">
      <w:pPr>
        <w:shd w:val="clear"/>
        <w:tabs>
          <w:tab w:val="left" w:pos="2410"/>
        </w:tabs>
        <w:autoSpaceDE w:val="0"/>
        <w:autoSpaceDN w:val="0"/>
        <w:adjustRightInd w:val="0"/>
        <w:snapToGrid w:val="0"/>
        <w:spacing w:line="360" w:lineRule="auto"/>
        <w:ind w:firstLine="643" w:firstLineChars="200"/>
        <w:rPr>
          <w:rFonts w:ascii="宋体" w:hAnsi="宋体" w:eastAsia="宋体"/>
          <w:b/>
          <w:color w:val="auto"/>
          <w:spacing w:val="20"/>
          <w:kern w:val="0"/>
          <w:sz w:val="32"/>
          <w:szCs w:val="32"/>
          <w:highlight w:val="none"/>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p>
    <w:p w14:paraId="30C6EF5F">
      <w:pPr>
        <w:shd w:val="clea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p>
    <w:p w14:paraId="175D2D3A">
      <w:pPr>
        <w:shd w:val="clea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供 应 商：</w:t>
      </w:r>
      <w:r>
        <w:rPr>
          <w:rFonts w:hint="eastAsia" w:asciiTheme="minorEastAsia" w:hAnsiTheme="minorEastAsia" w:eastAsiaTheme="minorEastAsia"/>
          <w:b/>
          <w:color w:val="auto"/>
          <w:sz w:val="32"/>
          <w:highlight w:val="none"/>
          <w:u w:val="single"/>
        </w:rPr>
        <w:t xml:space="preserve">                  </w:t>
      </w:r>
    </w:p>
    <w:p w14:paraId="512B3ACB">
      <w:pPr>
        <w:shd w:val="clear"/>
        <w:spacing w:after="120" w:afterLines="50" w:line="500" w:lineRule="exact"/>
        <w:jc w:val="center"/>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47" w:name="_Toc8037"/>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47"/>
    </w:p>
    <w:p w14:paraId="0516172D">
      <w:pPr>
        <w:widowControl/>
        <w:shd w:val="clear"/>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1386CE1A">
      <w:pPr>
        <w:shd w:val="clear"/>
        <w:spacing w:line="360" w:lineRule="auto"/>
        <w:jc w:val="center"/>
        <w:outlineLvl w:val="1"/>
        <w:rPr>
          <w:rFonts w:asciiTheme="minorEastAsia" w:hAnsiTheme="minorEastAsia" w:eastAsiaTheme="minorEastAsia"/>
          <w:b/>
          <w:color w:val="auto"/>
          <w:sz w:val="24"/>
          <w:highlight w:val="none"/>
        </w:rPr>
      </w:pPr>
      <w:bookmarkStart w:id="48" w:name="_Toc461053086"/>
      <w:bookmarkStart w:id="49" w:name="_Toc461056631"/>
      <w:bookmarkStart w:id="50" w:name="_Toc26791"/>
      <w:bookmarkStart w:id="51" w:name="_Toc520983587"/>
      <w:bookmarkStart w:id="52" w:name="_Toc5881"/>
      <w:r>
        <w:rPr>
          <w:rFonts w:hint="eastAsia" w:asciiTheme="minorEastAsia" w:hAnsiTheme="minorEastAsia" w:eastAsiaTheme="minorEastAsia"/>
          <w:b/>
          <w:color w:val="auto"/>
          <w:sz w:val="24"/>
          <w:highlight w:val="none"/>
        </w:rPr>
        <w:t>一</w:t>
      </w:r>
      <w:bookmarkEnd w:id="48"/>
      <w:bookmarkEnd w:id="49"/>
      <w:r>
        <w:rPr>
          <w:rFonts w:hint="eastAsia" w:asciiTheme="minorEastAsia" w:hAnsiTheme="minorEastAsia" w:eastAsiaTheme="minorEastAsia"/>
          <w:b/>
          <w:color w:val="auto"/>
          <w:sz w:val="24"/>
          <w:highlight w:val="none"/>
        </w:rPr>
        <w:t>、报价表格式</w:t>
      </w:r>
      <w:bookmarkEnd w:id="50"/>
      <w:bookmarkEnd w:id="51"/>
      <w:bookmarkEnd w:id="52"/>
    </w:p>
    <w:p w14:paraId="4E74C547">
      <w:pPr>
        <w:shd w:val="clear"/>
        <w:spacing w:before="120" w:beforeLines="50" w:after="120"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rPr>
        <w:t>1-1 报价表</w:t>
      </w:r>
    </w:p>
    <w:p w14:paraId="51B17895">
      <w:pPr>
        <w:shd w:val="clea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p>
    <w:p w14:paraId="23DA031F">
      <w:pPr>
        <w:shd w:val="clear"/>
        <w:snapToGrid w:val="0"/>
        <w:spacing w:after="120"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7"/>
        <w:gridCol w:w="6648"/>
      </w:tblGrid>
      <w:tr w14:paraId="0569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33A2271">
            <w:pPr>
              <w:shd w:val="clea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39167617">
            <w:pPr>
              <w:shd w:val="clear"/>
              <w:spacing w:line="360" w:lineRule="auto"/>
              <w:rPr>
                <w:rFonts w:ascii="宋体" w:hAnsi="宋体" w:eastAsia="宋体"/>
                <w:b/>
                <w:color w:val="auto"/>
                <w:sz w:val="24"/>
                <w:highlight w:val="none"/>
              </w:rPr>
            </w:pPr>
          </w:p>
        </w:tc>
      </w:tr>
      <w:tr w14:paraId="0381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B312C01">
            <w:pPr>
              <w:shd w:val="clea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磋商范围</w:t>
            </w:r>
          </w:p>
        </w:tc>
        <w:tc>
          <w:tcPr>
            <w:tcW w:w="3557" w:type="pct"/>
            <w:tcBorders>
              <w:left w:val="single" w:color="auto" w:sz="4" w:space="0"/>
            </w:tcBorders>
            <w:vAlign w:val="center"/>
          </w:tcPr>
          <w:p w14:paraId="20BE9923">
            <w:pPr>
              <w:widowControl/>
              <w:shd w:val="clear"/>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w:t>
            </w:r>
          </w:p>
        </w:tc>
      </w:tr>
      <w:tr w14:paraId="529F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6DD152B4">
            <w:pPr>
              <w:shd w:val="clea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378789FE">
            <w:pPr>
              <w:shd w:val="clea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37F94B0A">
            <w:pPr>
              <w:shd w:val="clear"/>
              <w:snapToGrid w:val="0"/>
              <w:spacing w:line="360" w:lineRule="auto"/>
              <w:rPr>
                <w:rFonts w:ascii="宋体" w:hAnsi="宋体" w:eastAsia="宋体"/>
                <w:color w:val="auto"/>
                <w:sz w:val="24"/>
                <w:szCs w:val="28"/>
                <w:highlight w:val="none"/>
              </w:rPr>
            </w:pPr>
          </w:p>
          <w:p w14:paraId="20D01F3A">
            <w:pPr>
              <w:shd w:val="clear"/>
              <w:snapToGrid w:val="0"/>
              <w:spacing w:line="360" w:lineRule="auto"/>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034E69BD">
            <w:pPr>
              <w:shd w:val="clear"/>
              <w:spacing w:line="360" w:lineRule="auto"/>
              <w:ind w:right="-670"/>
              <w:rPr>
                <w:rFonts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02FA59EF">
            <w:pPr>
              <w:shd w:val="clear"/>
              <w:snapToGrid w:val="0"/>
              <w:spacing w:line="360" w:lineRule="auto"/>
              <w:rPr>
                <w:rFonts w:ascii="宋体" w:hAnsi="宋体" w:eastAsia="宋体"/>
                <w:b/>
                <w:color w:val="auto"/>
                <w:sz w:val="24"/>
                <w:highlight w:val="none"/>
              </w:rPr>
            </w:pPr>
          </w:p>
        </w:tc>
      </w:tr>
      <w:tr w14:paraId="058B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1530D099">
            <w:pPr>
              <w:shd w:val="clea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3BC4D06D">
            <w:pPr>
              <w:shd w:val="clear"/>
              <w:spacing w:line="360" w:lineRule="auto"/>
              <w:rPr>
                <w:rFonts w:ascii="宋体" w:hAnsi="宋体" w:eastAsia="宋体"/>
                <w:b/>
                <w:color w:val="auto"/>
                <w:sz w:val="24"/>
                <w:highlight w:val="none"/>
              </w:rPr>
            </w:pPr>
          </w:p>
        </w:tc>
      </w:tr>
    </w:tbl>
    <w:p w14:paraId="7B499C2D">
      <w:pPr>
        <w:shd w:val="clea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供应商公章：</w:t>
      </w:r>
      <w:r>
        <w:rPr>
          <w:rFonts w:hint="eastAsia" w:ascii="宋体" w:hAnsi="宋体" w:eastAsia="宋体"/>
          <w:color w:val="auto"/>
          <w:sz w:val="24"/>
          <w:highlight w:val="none"/>
          <w:u w:val="single"/>
        </w:rPr>
        <w:t xml:space="preserve">             </w:t>
      </w:r>
    </w:p>
    <w:p w14:paraId="01D80638">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6F74C92">
      <w:pPr>
        <w:shd w:val="clea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19F36FB0">
      <w:pPr>
        <w:shd w:val="clear"/>
        <w:adjustRightInd w:val="0"/>
        <w:snapToGrid w:val="0"/>
        <w:spacing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szCs w:val="28"/>
          <w:highlight w:val="none"/>
        </w:rPr>
        <w:t>1.本表内容根据磋商文件要求包括了满足本次采购需求所应提供的服务，以及所伴随产生的其他费用（包括但不限于人员工资、人员社保、税费等），如有漏项，视为包含在报价中，后期不再增加。</w:t>
      </w:r>
    </w:p>
    <w:p w14:paraId="677EB1E5">
      <w:pPr>
        <w:shd w:val="clea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2.特殊事项在备注中注明。</w:t>
      </w:r>
    </w:p>
    <w:p w14:paraId="1F14B494">
      <w:pPr>
        <w:shd w:val="clea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3.表中大写金额与小写金额不一致的，以大写金额为准。</w:t>
      </w:r>
    </w:p>
    <w:p w14:paraId="13E71C59">
      <w:pPr>
        <w:widowControl/>
        <w:shd w:val="clear"/>
        <w:jc w:val="left"/>
        <w:rPr>
          <w:rFonts w:ascii="宋体" w:hAnsi="宋体" w:eastAsia="宋体"/>
          <w:b/>
          <w:bCs/>
          <w:color w:val="auto"/>
          <w:sz w:val="24"/>
          <w:szCs w:val="28"/>
          <w:highlight w:val="none"/>
        </w:rPr>
      </w:pPr>
      <w:r>
        <w:rPr>
          <w:rFonts w:ascii="宋体" w:hAnsi="宋体" w:eastAsia="宋体"/>
          <w:b/>
          <w:bCs/>
          <w:color w:val="auto"/>
          <w:sz w:val="24"/>
          <w:szCs w:val="28"/>
          <w:highlight w:val="none"/>
        </w:rPr>
        <w:br w:type="page"/>
      </w:r>
    </w:p>
    <w:p w14:paraId="1525B592">
      <w:pPr>
        <w:widowControl/>
        <w:shd w:val="clear"/>
        <w:jc w:val="left"/>
        <w:rPr>
          <w:rFonts w:ascii="宋体" w:hAnsi="宋体" w:eastAsia="宋体"/>
          <w:b/>
          <w:bCs/>
          <w:color w:val="auto"/>
          <w:sz w:val="24"/>
          <w:szCs w:val="28"/>
          <w:highlight w:val="none"/>
        </w:rPr>
      </w:pPr>
    </w:p>
    <w:p w14:paraId="6B32751F">
      <w:pPr>
        <w:shd w:val="clear"/>
        <w:spacing w:line="360" w:lineRule="auto"/>
        <w:jc w:val="center"/>
        <w:outlineLvl w:val="1"/>
        <w:rPr>
          <w:rFonts w:asciiTheme="minorEastAsia" w:hAnsiTheme="minorEastAsia" w:eastAsiaTheme="minorEastAsia"/>
          <w:b/>
          <w:color w:val="auto"/>
          <w:sz w:val="24"/>
          <w:highlight w:val="none"/>
        </w:rPr>
      </w:pPr>
      <w:bookmarkStart w:id="53" w:name="_Toc461053087"/>
      <w:bookmarkStart w:id="54" w:name="_Toc461056632"/>
      <w:bookmarkStart w:id="55" w:name="_Toc32436"/>
      <w:bookmarkStart w:id="56" w:name="_Toc28695"/>
      <w:bookmarkStart w:id="57" w:name="_Toc520983588"/>
      <w:r>
        <w:rPr>
          <w:rFonts w:hint="eastAsia" w:asciiTheme="minorEastAsia" w:hAnsiTheme="minorEastAsia" w:eastAsiaTheme="minorEastAsia"/>
          <w:b/>
          <w:color w:val="auto"/>
          <w:sz w:val="24"/>
          <w:highlight w:val="none"/>
        </w:rPr>
        <w:t>二</w:t>
      </w:r>
      <w:bookmarkEnd w:id="53"/>
      <w:bookmarkEnd w:id="54"/>
      <w:r>
        <w:rPr>
          <w:rFonts w:hint="eastAsia" w:asciiTheme="minorEastAsia" w:hAnsiTheme="minorEastAsia" w:eastAsiaTheme="minorEastAsia"/>
          <w:b/>
          <w:color w:val="auto"/>
          <w:sz w:val="24"/>
          <w:highlight w:val="none"/>
        </w:rPr>
        <w:t>、最后承诺报价表</w:t>
      </w:r>
      <w:bookmarkEnd w:id="55"/>
      <w:bookmarkEnd w:id="56"/>
      <w:bookmarkEnd w:id="57"/>
    </w:p>
    <w:p w14:paraId="40C6334B">
      <w:pPr>
        <w:shd w:val="clear"/>
        <w:spacing w:before="120" w:beforeLines="50" w:after="120" w:afterLines="50" w:line="360" w:lineRule="auto"/>
        <w:ind w:firstLine="236" w:firstLineChars="98"/>
        <w:jc w:val="center"/>
        <w:rPr>
          <w:rFonts w:ascii="宋体" w:hAnsi="宋体" w:eastAsia="宋体"/>
          <w:b/>
          <w:color w:val="auto"/>
          <w:sz w:val="24"/>
          <w:szCs w:val="28"/>
          <w:highlight w:val="none"/>
        </w:rPr>
      </w:pPr>
      <w:r>
        <w:rPr>
          <w:rFonts w:hint="eastAsia" w:ascii="宋体" w:hAnsi="宋体" w:eastAsia="宋体"/>
          <w:b/>
          <w:color w:val="auto"/>
          <w:sz w:val="24"/>
          <w:szCs w:val="28"/>
          <w:highlight w:val="none"/>
        </w:rPr>
        <w:t>（第</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rPr>
        <w:t>次报价书）</w:t>
      </w:r>
    </w:p>
    <w:p w14:paraId="234B25CD">
      <w:pPr>
        <w:shd w:val="clea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p>
    <w:p w14:paraId="269B615D">
      <w:pPr>
        <w:shd w:val="clear"/>
        <w:snapToGrid w:val="0"/>
        <w:spacing w:after="120" w:afterLines="50" w:line="360" w:lineRule="auto"/>
        <w:jc w:val="left"/>
        <w:rPr>
          <w:rFonts w:ascii="宋体" w:hAnsi="宋体" w:eastAsia="宋体"/>
          <w:b/>
          <w:bCs/>
          <w:color w:val="auto"/>
          <w:sz w:val="24"/>
          <w:szCs w:val="28"/>
          <w:highlight w:val="non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7"/>
        <w:gridCol w:w="6648"/>
      </w:tblGrid>
      <w:tr w14:paraId="4729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0534749">
            <w:pPr>
              <w:shd w:val="clea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0A8A7C76">
            <w:pPr>
              <w:shd w:val="clear"/>
              <w:spacing w:line="360" w:lineRule="auto"/>
              <w:rPr>
                <w:rFonts w:ascii="宋体" w:hAnsi="宋体" w:eastAsia="宋体"/>
                <w:b/>
                <w:color w:val="auto"/>
                <w:sz w:val="24"/>
                <w:highlight w:val="none"/>
              </w:rPr>
            </w:pPr>
          </w:p>
        </w:tc>
      </w:tr>
      <w:tr w14:paraId="7F37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FAFFD87">
            <w:pPr>
              <w:shd w:val="clear"/>
              <w:spacing w:line="360" w:lineRule="exact"/>
              <w:jc w:val="center"/>
              <w:rPr>
                <w:rFonts w:ascii="宋体" w:hAnsi="宋体" w:eastAsia="宋体"/>
                <w:b/>
                <w:color w:val="auto"/>
                <w:sz w:val="24"/>
                <w:highlight w:val="none"/>
              </w:rPr>
            </w:pPr>
            <w:r>
              <w:rPr>
                <w:rFonts w:hint="eastAsia" w:ascii="宋体" w:hAnsi="宋体" w:eastAsia="宋体"/>
                <w:b/>
                <w:bCs/>
                <w:color w:val="auto"/>
                <w:sz w:val="24"/>
                <w:szCs w:val="28"/>
                <w:highlight w:val="none"/>
              </w:rPr>
              <w:t>磋商</w:t>
            </w:r>
            <w:r>
              <w:rPr>
                <w:rFonts w:hint="eastAsia" w:ascii="宋体" w:hAnsi="宋体" w:eastAsia="宋体"/>
                <w:b/>
                <w:color w:val="auto"/>
                <w:sz w:val="24"/>
                <w:highlight w:val="none"/>
              </w:rPr>
              <w:t>范围</w:t>
            </w:r>
          </w:p>
        </w:tc>
        <w:tc>
          <w:tcPr>
            <w:tcW w:w="3557" w:type="pct"/>
            <w:tcBorders>
              <w:left w:val="single" w:color="auto" w:sz="4" w:space="0"/>
            </w:tcBorders>
            <w:vAlign w:val="center"/>
          </w:tcPr>
          <w:p w14:paraId="3A4E6FCA">
            <w:pPr>
              <w:widowControl/>
              <w:shd w:val="clear"/>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w:t>
            </w:r>
          </w:p>
        </w:tc>
      </w:tr>
      <w:tr w14:paraId="4A6A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2A5B954C">
            <w:pPr>
              <w:shd w:val="clea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最后报价</w:t>
            </w:r>
          </w:p>
          <w:p w14:paraId="01BDADDE">
            <w:pPr>
              <w:shd w:val="clea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1B5F2ADB">
            <w:pPr>
              <w:shd w:val="clear"/>
              <w:snapToGrid w:val="0"/>
              <w:spacing w:line="360" w:lineRule="auto"/>
              <w:rPr>
                <w:rFonts w:ascii="宋体" w:hAnsi="宋体" w:eastAsia="宋体"/>
                <w:color w:val="auto"/>
                <w:sz w:val="24"/>
                <w:szCs w:val="28"/>
                <w:highlight w:val="none"/>
              </w:rPr>
            </w:pPr>
          </w:p>
          <w:p w14:paraId="64885710">
            <w:pPr>
              <w:shd w:val="clear"/>
              <w:snapToGrid w:val="0"/>
              <w:spacing w:line="360" w:lineRule="auto"/>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2A90E834">
            <w:pPr>
              <w:shd w:val="clear"/>
              <w:spacing w:line="360" w:lineRule="auto"/>
              <w:ind w:right="-670"/>
              <w:rPr>
                <w:rFonts w:ascii="宋体" w:hAnsi="宋体" w:eastAsia="宋体"/>
                <w:b/>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22C9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14DAF7D5">
            <w:pPr>
              <w:shd w:val="clea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433C1EE6">
            <w:pPr>
              <w:shd w:val="clear"/>
              <w:spacing w:line="360" w:lineRule="auto"/>
              <w:rPr>
                <w:rFonts w:ascii="宋体" w:hAnsi="宋体" w:eastAsia="宋体"/>
                <w:b/>
                <w:color w:val="auto"/>
                <w:sz w:val="24"/>
                <w:highlight w:val="none"/>
              </w:rPr>
            </w:pPr>
            <w:r>
              <w:rPr>
                <w:rFonts w:hint="eastAsia" w:ascii="宋体" w:hAnsi="宋体" w:eastAsia="宋体"/>
                <w:b/>
                <w:i/>
                <w:color w:val="auto"/>
                <w:sz w:val="24"/>
                <w:highlight w:val="none"/>
              </w:rPr>
              <w:t>（此处可补充磋商小组根据与供应商磋商情况变动的磋商文件的内容，包括采购需求中的技术、服务要求以及合同草案条款。）</w:t>
            </w:r>
          </w:p>
        </w:tc>
      </w:tr>
      <w:tr w14:paraId="791D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4DB5DC6B">
            <w:pPr>
              <w:shd w:val="clea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磋商小组</w:t>
            </w:r>
            <w:r>
              <w:rPr>
                <w:rFonts w:ascii="宋体" w:hAnsi="宋体" w:eastAsia="宋体"/>
                <w:b/>
                <w:bCs/>
                <w:color w:val="auto"/>
                <w:sz w:val="24"/>
                <w:szCs w:val="28"/>
                <w:highlight w:val="none"/>
              </w:rPr>
              <w:t>签字</w:t>
            </w:r>
          </w:p>
        </w:tc>
        <w:tc>
          <w:tcPr>
            <w:tcW w:w="3557" w:type="pct"/>
          </w:tcPr>
          <w:p w14:paraId="67509686">
            <w:pPr>
              <w:shd w:val="clear"/>
              <w:spacing w:line="360" w:lineRule="auto"/>
              <w:rPr>
                <w:rFonts w:ascii="宋体" w:hAnsi="宋体" w:eastAsia="宋体"/>
                <w:b/>
                <w:color w:val="auto"/>
                <w:sz w:val="24"/>
                <w:highlight w:val="none"/>
              </w:rPr>
            </w:pPr>
          </w:p>
        </w:tc>
      </w:tr>
    </w:tbl>
    <w:p w14:paraId="00A229AB">
      <w:pPr>
        <w:shd w:val="clear"/>
        <w:spacing w:line="360" w:lineRule="auto"/>
        <w:ind w:firstLine="3600" w:firstLineChars="1500"/>
        <w:jc w:val="left"/>
        <w:rPr>
          <w:rFonts w:ascii="宋体" w:hAnsi="宋体" w:eastAsia="宋体"/>
          <w:color w:val="auto"/>
          <w:sz w:val="24"/>
          <w:highlight w:val="none"/>
        </w:rPr>
      </w:pPr>
      <w:r>
        <w:rPr>
          <w:rFonts w:hint="eastAsia" w:ascii="宋体" w:hAnsi="宋体" w:eastAsia="宋体"/>
          <w:color w:val="auto"/>
          <w:sz w:val="24"/>
          <w:highlight w:val="none"/>
        </w:rPr>
        <w:t>供应商公章或授权代表签字：</w:t>
      </w:r>
      <w:r>
        <w:rPr>
          <w:rFonts w:hint="eastAsia" w:ascii="宋体" w:hAnsi="宋体" w:eastAsia="宋体"/>
          <w:color w:val="auto"/>
          <w:sz w:val="24"/>
          <w:highlight w:val="none"/>
          <w:u w:val="single"/>
        </w:rPr>
        <w:t xml:space="preserve">             </w:t>
      </w:r>
    </w:p>
    <w:p w14:paraId="2CBA66E3">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5758CD0">
      <w:pPr>
        <w:shd w:val="clear"/>
        <w:spacing w:line="360" w:lineRule="auto"/>
        <w:jc w:val="left"/>
        <w:rPr>
          <w:rFonts w:ascii="宋体" w:hAnsi="宋体" w:eastAsia="宋体"/>
          <w:b/>
          <w:bCs/>
          <w:color w:val="auto"/>
          <w:sz w:val="24"/>
          <w:highlight w:val="none"/>
        </w:rPr>
      </w:pPr>
      <w:r>
        <w:rPr>
          <w:rFonts w:hint="eastAsia" w:ascii="宋体" w:hAnsi="宋体" w:eastAsia="宋体"/>
          <w:b/>
          <w:bCs/>
          <w:color w:val="auto"/>
          <w:sz w:val="24"/>
          <w:highlight w:val="none"/>
        </w:rPr>
        <w:t>注：</w:t>
      </w:r>
    </w:p>
    <w:p w14:paraId="58EB408C">
      <w:pPr>
        <w:shd w:val="clear"/>
        <w:spacing w:line="360" w:lineRule="auto"/>
        <w:ind w:firstLine="482" w:firstLineChars="200"/>
        <w:jc w:val="left"/>
        <w:rPr>
          <w:rFonts w:ascii="宋体" w:hAnsi="宋体" w:eastAsia="宋体"/>
          <w:bCs/>
          <w:color w:val="auto"/>
          <w:sz w:val="24"/>
          <w:highlight w:val="none"/>
        </w:rPr>
      </w:pPr>
      <w:r>
        <w:rPr>
          <w:rFonts w:hint="eastAsia" w:ascii="宋体" w:hAnsi="宋体" w:eastAsia="宋体"/>
          <w:b/>
          <w:bCs/>
          <w:color w:val="auto"/>
          <w:sz w:val="24"/>
          <w:highlight w:val="none"/>
        </w:rPr>
        <w:t>1.本页《报价表》由供应商在接到报价通知后依据磋商情况填写,并在规定时间内提交。</w:t>
      </w:r>
      <w:r>
        <w:rPr>
          <w:rFonts w:hint="eastAsia" w:ascii="宋体" w:hAnsi="宋体" w:eastAsia="宋体"/>
          <w:color w:val="auto"/>
          <w:sz w:val="24"/>
          <w:highlight w:val="none"/>
        </w:rPr>
        <w:t>考虑磋商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w:t>
      </w:r>
      <w:r>
        <w:rPr>
          <w:rFonts w:hint="eastAsia" w:ascii="宋体" w:hAnsi="宋体" w:eastAsia="宋体"/>
          <w:bCs/>
          <w:color w:val="auto"/>
          <w:sz w:val="24"/>
          <w:highlight w:val="none"/>
        </w:rPr>
        <w:t>此优惠率调整原则适用于合同内价格的计算及项目增减、变更时价格的计算。</w:t>
      </w:r>
    </w:p>
    <w:p w14:paraId="66379319">
      <w:pPr>
        <w:shd w:val="clear"/>
        <w:adjustRightInd w:val="0"/>
        <w:snapToGrid w:val="0"/>
        <w:spacing w:line="360" w:lineRule="auto"/>
        <w:ind w:firstLine="482" w:firstLineChars="200"/>
        <w:rPr>
          <w:rFonts w:ascii="宋体" w:hAnsi="宋体" w:eastAsia="宋体"/>
          <w:bCs/>
          <w:color w:val="auto"/>
          <w:sz w:val="24"/>
          <w:highlight w:val="none"/>
        </w:rPr>
      </w:pPr>
      <w:r>
        <w:rPr>
          <w:rFonts w:hint="eastAsia" w:ascii="宋体" w:hAnsi="宋体" w:eastAsia="宋体"/>
          <w:b/>
          <w:bCs/>
          <w:color w:val="auto"/>
          <w:sz w:val="24"/>
          <w:szCs w:val="28"/>
          <w:highlight w:val="none"/>
        </w:rPr>
        <w:t>2.表中大写金额与小写金额不一致的，以大写金额为准。</w:t>
      </w:r>
    </w:p>
    <w:p w14:paraId="1117890B">
      <w:pPr>
        <w:widowControl/>
        <w:shd w:val="clear"/>
        <w:jc w:val="left"/>
        <w:rPr>
          <w:rFonts w:ascii="宋体" w:hAnsi="宋体" w:eastAsia="宋体"/>
          <w:bCs/>
          <w:color w:val="auto"/>
          <w:sz w:val="24"/>
          <w:highlight w:val="none"/>
        </w:rPr>
      </w:pPr>
      <w:r>
        <w:rPr>
          <w:rFonts w:ascii="宋体" w:hAnsi="宋体" w:eastAsia="宋体"/>
          <w:bCs/>
          <w:color w:val="auto"/>
          <w:sz w:val="24"/>
          <w:highlight w:val="none"/>
        </w:rPr>
        <w:br w:type="page"/>
      </w:r>
    </w:p>
    <w:p w14:paraId="19DFA5FB">
      <w:pPr>
        <w:shd w:val="clear"/>
        <w:spacing w:line="360" w:lineRule="auto"/>
        <w:jc w:val="center"/>
        <w:outlineLvl w:val="1"/>
        <w:rPr>
          <w:rFonts w:asciiTheme="minorEastAsia" w:hAnsiTheme="minorEastAsia" w:eastAsiaTheme="minorEastAsia"/>
          <w:b/>
          <w:color w:val="auto"/>
          <w:sz w:val="24"/>
          <w:highlight w:val="none"/>
        </w:rPr>
      </w:pPr>
      <w:bookmarkStart w:id="58" w:name="_Toc11500"/>
      <w:bookmarkStart w:id="59" w:name="_Toc520983591"/>
      <w:bookmarkStart w:id="60" w:name="_Toc32385"/>
      <w:r>
        <w:rPr>
          <w:rFonts w:hint="eastAsia" w:asciiTheme="minorEastAsia" w:hAnsiTheme="minorEastAsia" w:eastAsiaTheme="minorEastAsia"/>
          <w:b/>
          <w:color w:val="auto"/>
          <w:sz w:val="24"/>
          <w:highlight w:val="none"/>
        </w:rPr>
        <w:t>三、磋商响应函</w:t>
      </w:r>
      <w:bookmarkEnd w:id="58"/>
      <w:bookmarkEnd w:id="59"/>
      <w:bookmarkEnd w:id="60"/>
    </w:p>
    <w:p w14:paraId="3402D64A">
      <w:pPr>
        <w:pStyle w:val="13"/>
        <w:shd w:val="clear"/>
        <w:spacing w:line="360" w:lineRule="auto"/>
        <w:rPr>
          <w:rFonts w:ascii="宋体" w:hAnsi="宋体"/>
          <w:color w:val="auto"/>
          <w:sz w:val="24"/>
          <w:highlight w:val="none"/>
        </w:rPr>
      </w:pPr>
      <w:r>
        <w:rPr>
          <w:rFonts w:hint="eastAsia" w:ascii="宋体" w:hAnsi="宋体"/>
          <w:color w:val="auto"/>
          <w:sz w:val="24"/>
          <w:highlight w:val="none"/>
        </w:rPr>
        <w:t>致：采购人</w:t>
      </w:r>
    </w:p>
    <w:p w14:paraId="4719A8CF">
      <w:pPr>
        <w:shd w:val="clea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61" w:name="_Hlk44287543"/>
      <w:r>
        <w:rPr>
          <w:rFonts w:hint="eastAsia" w:ascii="宋体" w:hAnsi="宋体" w:eastAsia="宋体"/>
          <w:color w:val="auto"/>
          <w:sz w:val="24"/>
          <w:highlight w:val="none"/>
        </w:rPr>
        <w:t>竞争性磋商公告</w:t>
      </w:r>
      <w:bookmarkEnd w:id="61"/>
      <w:r>
        <w:rPr>
          <w:rFonts w:hint="eastAsia" w:ascii="宋体" w:hAnsi="宋体" w:eastAsia="宋体"/>
          <w:color w:val="auto"/>
          <w:sz w:val="24"/>
          <w:highlight w:val="none"/>
        </w:rPr>
        <w:t>，我方兹宣布同意如下：</w:t>
      </w:r>
    </w:p>
    <w:p w14:paraId="0B87EDE6">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宋体" w:hAnsi="宋体" w:eastAsia="宋体" w:cs="宋体"/>
          <w:color w:val="auto"/>
          <w:sz w:val="24"/>
          <w:szCs w:val="24"/>
          <w:highlight w:val="none"/>
        </w:rPr>
        <w:t>我方根据磋商文件的规定，严格履行合同的责任和义务,并保证于买方要求的日期内完成，并通过买方验收。</w:t>
      </w:r>
    </w:p>
    <w:p w14:paraId="19CB8E41">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2.我方已详细审核全部磋商文件，包括磋商文件附件及更正公告（如有），我方正式认可并遵守本次磋商文件，并对磋商文件各项条款、规定及要求均无异议。</w:t>
      </w:r>
    </w:p>
    <w:p w14:paraId="233F7851">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3.我方同意从磋商文件规定的磋商日期起遵循本磋商文件，并在磋商文件规定的磋商有效期之前均具有约束力。</w:t>
      </w:r>
    </w:p>
    <w:p w14:paraId="631E4A21">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我方声明响应文件所提供的一切资料均真实无误、及时、有效，企业运营正常。由于我方提供资料不实而造成的责任和后果由我方承担。我方同意按照贵方提出的要求，提供与磋商有关的任何证据、数据或资料。</w:t>
      </w:r>
    </w:p>
    <w:p w14:paraId="42CB1EF9">
      <w:pPr>
        <w:shd w:val="clear"/>
        <w:spacing w:line="360" w:lineRule="auto"/>
        <w:ind w:firstLine="480" w:firstLineChars="200"/>
        <w:rPr>
          <w:rFonts w:ascii="宋体" w:hAnsi="宋体" w:eastAsia="宋体"/>
          <w:color w:val="auto"/>
          <w:sz w:val="24"/>
          <w:highlight w:val="none"/>
        </w:rPr>
      </w:pPr>
    </w:p>
    <w:p w14:paraId="7EE54198">
      <w:pPr>
        <w:shd w:val="clea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供应商公章：</w:t>
      </w:r>
      <w:r>
        <w:rPr>
          <w:rFonts w:hint="eastAsia" w:ascii="宋体" w:hAnsi="宋体" w:eastAsia="宋体"/>
          <w:color w:val="auto"/>
          <w:sz w:val="24"/>
          <w:highlight w:val="none"/>
          <w:u w:val="single"/>
        </w:rPr>
        <w:t xml:space="preserve">             </w:t>
      </w:r>
    </w:p>
    <w:p w14:paraId="507898D1">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DB5A62C">
      <w:pPr>
        <w:widowControl/>
        <w:shd w:val="clear"/>
        <w:jc w:val="left"/>
        <w:rPr>
          <w:rFonts w:ascii="宋体" w:hAnsi="宋体" w:eastAsia="宋体"/>
          <w:color w:val="auto"/>
          <w:sz w:val="24"/>
          <w:highlight w:val="none"/>
        </w:rPr>
      </w:pPr>
      <w:r>
        <w:rPr>
          <w:rFonts w:ascii="宋体" w:hAnsi="宋体" w:eastAsia="宋体"/>
          <w:color w:val="auto"/>
          <w:sz w:val="24"/>
          <w:highlight w:val="none"/>
        </w:rPr>
        <w:br w:type="page"/>
      </w:r>
    </w:p>
    <w:p w14:paraId="344D05F5">
      <w:pPr>
        <w:shd w:val="clear"/>
        <w:spacing w:line="360" w:lineRule="auto"/>
        <w:jc w:val="center"/>
        <w:outlineLvl w:val="1"/>
        <w:rPr>
          <w:rFonts w:asciiTheme="minorEastAsia" w:hAnsiTheme="minorEastAsia" w:eastAsiaTheme="minorEastAsia"/>
          <w:b/>
          <w:color w:val="auto"/>
          <w:sz w:val="24"/>
          <w:highlight w:val="none"/>
        </w:rPr>
      </w:pPr>
      <w:bookmarkStart w:id="62" w:name="_Toc21328"/>
      <w:r>
        <w:rPr>
          <w:rFonts w:hint="eastAsia" w:asciiTheme="minorEastAsia" w:hAnsiTheme="minorEastAsia" w:eastAsiaTheme="minorEastAsia"/>
          <w:b/>
          <w:color w:val="auto"/>
          <w:sz w:val="24"/>
          <w:highlight w:val="none"/>
        </w:rPr>
        <w:t>四、供应商资格声明书</w:t>
      </w:r>
      <w:bookmarkEnd w:id="62"/>
    </w:p>
    <w:p w14:paraId="1BEF7689">
      <w:pPr>
        <w:pStyle w:val="13"/>
        <w:shd w:val="clear"/>
        <w:spacing w:line="360" w:lineRule="auto"/>
        <w:rPr>
          <w:rFonts w:asciiTheme="minorEastAsia" w:hAnsiTheme="minorEastAsia" w:cstheme="minorEastAsia"/>
          <w:color w:val="auto"/>
          <w:sz w:val="24"/>
          <w:szCs w:val="24"/>
          <w:highlight w:val="none"/>
        </w:rPr>
      </w:pPr>
      <w:r>
        <w:rPr>
          <w:rFonts w:hint="eastAsia" w:ascii="宋体" w:hAnsi="宋体"/>
          <w:color w:val="auto"/>
          <w:sz w:val="24"/>
          <w:highlight w:val="none"/>
        </w:rPr>
        <w:t>致：采购人</w:t>
      </w:r>
    </w:p>
    <w:p w14:paraId="4A0641E7">
      <w:pPr>
        <w:widowControl/>
        <w:shd w:val="clear"/>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在参与本次项目磋商中，我单位承诺：</w:t>
      </w:r>
    </w:p>
    <w:p w14:paraId="43B85F6F">
      <w:pPr>
        <w:widowControl/>
        <w:shd w:val="clear"/>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（一）具有良好的商业信誉和健全的财务会计制度；</w:t>
      </w:r>
    </w:p>
    <w:p w14:paraId="4F0D4B0F">
      <w:pPr>
        <w:widowControl/>
        <w:shd w:val="clear"/>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（二）具有履行合同所必需的设备和专业技术能力；</w:t>
      </w:r>
    </w:p>
    <w:p w14:paraId="7823BF12">
      <w:pPr>
        <w:widowControl/>
        <w:shd w:val="clear"/>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（三）有依法缴纳税收和社会保障资金的良好记录；</w:t>
      </w:r>
    </w:p>
    <w:p w14:paraId="517FA2CB">
      <w:pPr>
        <w:widowControl/>
        <w:shd w:val="clear"/>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D55C930">
      <w:pPr>
        <w:widowControl/>
        <w:shd w:val="clear"/>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7E5AF688">
      <w:pPr>
        <w:widowControl/>
        <w:shd w:val="clear"/>
        <w:spacing w:line="360" w:lineRule="auto"/>
        <w:ind w:firstLine="480" w:firstLineChars="200"/>
        <w:jc w:val="left"/>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（六）与我单位存在单位负责人为同一人或者存在直接控股、管理关系的其他法人单位信息如下（如有，不论其是否参加同一合同项下的采购活动均须填写）：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4501"/>
        <w:gridCol w:w="2681"/>
      </w:tblGrid>
      <w:tr w14:paraId="62A8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1068A0F6">
            <w:pPr>
              <w:widowControl/>
              <w:shd w:val="clear"/>
              <w:spacing w:line="360" w:lineRule="auto"/>
              <w:jc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序号</w:t>
            </w:r>
          </w:p>
        </w:tc>
        <w:tc>
          <w:tcPr>
            <w:tcW w:w="4501" w:type="dxa"/>
          </w:tcPr>
          <w:p w14:paraId="08D6CD47">
            <w:pPr>
              <w:pStyle w:val="8"/>
              <w:shd w:val="clear"/>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单位名称</w:t>
            </w:r>
          </w:p>
        </w:tc>
        <w:tc>
          <w:tcPr>
            <w:tcW w:w="2681" w:type="dxa"/>
          </w:tcPr>
          <w:p w14:paraId="2637118C">
            <w:pPr>
              <w:pStyle w:val="8"/>
              <w:shd w:val="clear"/>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相互关系</w:t>
            </w:r>
          </w:p>
        </w:tc>
      </w:tr>
      <w:tr w14:paraId="2399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3521A21D">
            <w:pPr>
              <w:pStyle w:val="8"/>
              <w:shd w:val="clear"/>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1</w:t>
            </w:r>
          </w:p>
        </w:tc>
        <w:tc>
          <w:tcPr>
            <w:tcW w:w="4501" w:type="dxa"/>
          </w:tcPr>
          <w:p w14:paraId="3EA85D0C">
            <w:pPr>
              <w:pStyle w:val="8"/>
              <w:shd w:val="clear"/>
              <w:jc w:val="center"/>
              <w:rPr>
                <w:rFonts w:asciiTheme="minorEastAsia" w:hAnsiTheme="minorEastAsia" w:eastAsiaTheme="minorEastAsia" w:cstheme="minorEastAsia"/>
                <w:color w:val="auto"/>
                <w:kern w:val="0"/>
                <w:sz w:val="24"/>
                <w:highlight w:val="none"/>
                <w:lang w:val="en-US" w:bidi="ar"/>
              </w:rPr>
            </w:pPr>
          </w:p>
        </w:tc>
        <w:tc>
          <w:tcPr>
            <w:tcW w:w="2681" w:type="dxa"/>
          </w:tcPr>
          <w:p w14:paraId="0F03FFB7">
            <w:pPr>
              <w:pStyle w:val="8"/>
              <w:shd w:val="clear"/>
              <w:jc w:val="center"/>
              <w:rPr>
                <w:rFonts w:asciiTheme="minorEastAsia" w:hAnsiTheme="minorEastAsia" w:eastAsiaTheme="minorEastAsia" w:cstheme="minorEastAsia"/>
                <w:color w:val="auto"/>
                <w:kern w:val="0"/>
                <w:sz w:val="24"/>
                <w:highlight w:val="none"/>
                <w:lang w:val="en-US" w:bidi="ar"/>
              </w:rPr>
            </w:pPr>
          </w:p>
        </w:tc>
      </w:tr>
      <w:tr w14:paraId="4DA8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43DFB8F3">
            <w:pPr>
              <w:pStyle w:val="8"/>
              <w:shd w:val="clear"/>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2</w:t>
            </w:r>
          </w:p>
        </w:tc>
        <w:tc>
          <w:tcPr>
            <w:tcW w:w="4501" w:type="dxa"/>
          </w:tcPr>
          <w:p w14:paraId="6DDED9B5">
            <w:pPr>
              <w:pStyle w:val="8"/>
              <w:shd w:val="clear"/>
              <w:jc w:val="center"/>
              <w:rPr>
                <w:rFonts w:asciiTheme="minorEastAsia" w:hAnsiTheme="minorEastAsia" w:eastAsiaTheme="minorEastAsia" w:cstheme="minorEastAsia"/>
                <w:color w:val="auto"/>
                <w:kern w:val="0"/>
                <w:sz w:val="24"/>
                <w:highlight w:val="none"/>
                <w:lang w:val="en-US" w:bidi="ar"/>
              </w:rPr>
            </w:pPr>
          </w:p>
        </w:tc>
        <w:tc>
          <w:tcPr>
            <w:tcW w:w="2681" w:type="dxa"/>
          </w:tcPr>
          <w:p w14:paraId="47097CE7">
            <w:pPr>
              <w:pStyle w:val="8"/>
              <w:shd w:val="clear"/>
              <w:jc w:val="center"/>
              <w:rPr>
                <w:rFonts w:asciiTheme="minorEastAsia" w:hAnsiTheme="minorEastAsia" w:eastAsiaTheme="minorEastAsia" w:cstheme="minorEastAsia"/>
                <w:color w:val="auto"/>
                <w:kern w:val="0"/>
                <w:sz w:val="24"/>
                <w:highlight w:val="none"/>
                <w:lang w:val="en-US" w:bidi="ar"/>
              </w:rPr>
            </w:pPr>
          </w:p>
        </w:tc>
      </w:tr>
    </w:tbl>
    <w:p w14:paraId="6FD7C5D0">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673C0D08">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供应商公章：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50FC610B">
      <w:pPr>
        <w:shd w:val="clea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553A6B06">
      <w:pPr>
        <w:shd w:val="clear"/>
        <w:spacing w:line="440" w:lineRule="exact"/>
        <w:ind w:firstLine="4800" w:firstLineChars="2000"/>
        <w:rPr>
          <w:rFonts w:ascii="宋体" w:hAnsi="宋体" w:eastAsia="宋体"/>
          <w:color w:val="auto"/>
          <w:sz w:val="24"/>
          <w:szCs w:val="24"/>
          <w:highlight w:val="none"/>
          <w:u w:val="single"/>
        </w:rPr>
      </w:pPr>
    </w:p>
    <w:p w14:paraId="2C4ECAC4">
      <w:pPr>
        <w:widowControl/>
        <w:shd w:val="clear"/>
        <w:jc w:val="left"/>
        <w:rPr>
          <w:rFonts w:ascii="宋体" w:hAnsi="宋体" w:eastAsia="宋体"/>
          <w:color w:val="auto"/>
          <w:sz w:val="24"/>
          <w:highlight w:val="none"/>
        </w:rPr>
      </w:pPr>
      <w:r>
        <w:rPr>
          <w:rFonts w:ascii="宋体" w:hAnsi="宋体" w:eastAsia="宋体"/>
          <w:color w:val="auto"/>
          <w:sz w:val="24"/>
          <w:highlight w:val="none"/>
        </w:rPr>
        <w:br w:type="page"/>
      </w:r>
    </w:p>
    <w:p w14:paraId="344F1933">
      <w:pPr>
        <w:shd w:val="clear"/>
        <w:spacing w:line="360" w:lineRule="auto"/>
        <w:jc w:val="center"/>
        <w:outlineLvl w:val="1"/>
        <w:rPr>
          <w:rFonts w:asciiTheme="minorEastAsia" w:hAnsiTheme="minorEastAsia" w:eastAsiaTheme="minorEastAsia"/>
          <w:b/>
          <w:color w:val="auto"/>
          <w:sz w:val="24"/>
          <w:highlight w:val="none"/>
        </w:rPr>
      </w:pPr>
      <w:bookmarkStart w:id="63" w:name="_Toc204594911"/>
      <w:bookmarkStart w:id="64" w:name="_Toc121626298"/>
      <w:bookmarkStart w:id="65" w:name="_Toc520983594"/>
      <w:bookmarkStart w:id="66" w:name="_Toc26922"/>
      <w:bookmarkStart w:id="67" w:name="_Toc31518"/>
      <w:bookmarkStart w:id="68" w:name="_Toc516969106"/>
      <w:r>
        <w:rPr>
          <w:rFonts w:hint="eastAsia" w:asciiTheme="minorEastAsia" w:hAnsiTheme="minorEastAsia" w:eastAsiaTheme="minorEastAsia"/>
          <w:b/>
          <w:color w:val="auto"/>
          <w:sz w:val="24"/>
          <w:highlight w:val="none"/>
        </w:rPr>
        <w:t>五、授权书</w:t>
      </w:r>
      <w:bookmarkEnd w:id="63"/>
      <w:bookmarkEnd w:id="64"/>
      <w:bookmarkEnd w:id="65"/>
      <w:bookmarkEnd w:id="66"/>
      <w:bookmarkEnd w:id="67"/>
      <w:bookmarkEnd w:id="68"/>
    </w:p>
    <w:p w14:paraId="17E10C80">
      <w:pPr>
        <w:shd w:val="clear"/>
        <w:spacing w:line="360" w:lineRule="auto"/>
        <w:jc w:val="center"/>
        <w:rPr>
          <w:rFonts w:asciiTheme="minorEastAsia" w:hAnsiTheme="minorEastAsia" w:eastAsiaTheme="minorEastAsia"/>
          <w:b/>
          <w:color w:val="auto"/>
          <w:sz w:val="24"/>
          <w:highlight w:val="none"/>
        </w:rPr>
      </w:pPr>
    </w:p>
    <w:p w14:paraId="0A960706">
      <w:pPr>
        <w:pStyle w:val="12"/>
        <w:shd w:val="clear"/>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42A79C65">
      <w:pPr>
        <w:pStyle w:val="12"/>
        <w:shd w:val="clear"/>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7959D9A8">
      <w:pPr>
        <w:pStyle w:val="12"/>
        <w:shd w:val="clear"/>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2491A805">
      <w:pPr>
        <w:pStyle w:val="12"/>
        <w:shd w:val="clear"/>
        <w:snapToGrid w:val="0"/>
        <w:spacing w:line="360" w:lineRule="auto"/>
        <w:ind w:firstLine="480" w:firstLineChars="200"/>
        <w:jc w:val="left"/>
        <w:rPr>
          <w:rFonts w:hAnsi="宋体" w:eastAsia="宋体"/>
          <w:color w:val="auto"/>
          <w:sz w:val="24"/>
          <w:highlight w:val="none"/>
        </w:rPr>
      </w:pPr>
    </w:p>
    <w:p w14:paraId="48C8CF71">
      <w:pPr>
        <w:pStyle w:val="12"/>
        <w:shd w:val="clear"/>
        <w:snapToGrid w:val="0"/>
        <w:spacing w:line="360" w:lineRule="auto"/>
        <w:ind w:firstLine="480" w:firstLineChars="200"/>
        <w:jc w:val="left"/>
        <w:rPr>
          <w:rFonts w:hAnsi="宋体" w:eastAsia="宋体"/>
          <w:color w:val="auto"/>
          <w:sz w:val="24"/>
          <w:highlight w:val="none"/>
        </w:rPr>
      </w:pPr>
    </w:p>
    <w:p w14:paraId="61925FD9">
      <w:pPr>
        <w:pStyle w:val="12"/>
        <w:shd w:val="clear"/>
        <w:snapToGrid w:val="0"/>
        <w:spacing w:line="360" w:lineRule="auto"/>
        <w:ind w:firstLine="480" w:firstLineChars="200"/>
        <w:jc w:val="left"/>
        <w:rPr>
          <w:rFonts w:hAnsi="宋体" w:eastAsia="宋体"/>
          <w:color w:val="auto"/>
          <w:sz w:val="24"/>
          <w:highlight w:val="none"/>
        </w:rPr>
      </w:pPr>
    </w:p>
    <w:p w14:paraId="7F97E2CA">
      <w:pPr>
        <w:pStyle w:val="12"/>
        <w:shd w:val="clear"/>
        <w:snapToGrid w:val="0"/>
        <w:spacing w:line="360" w:lineRule="auto"/>
        <w:ind w:firstLine="480" w:firstLineChars="200"/>
        <w:jc w:val="left"/>
        <w:rPr>
          <w:rFonts w:hAnsi="宋体" w:eastAsia="宋体"/>
          <w:color w:val="auto"/>
          <w:sz w:val="24"/>
          <w:highlight w:val="none"/>
        </w:rPr>
      </w:pPr>
    </w:p>
    <w:p w14:paraId="55D46C58">
      <w:pPr>
        <w:pStyle w:val="12"/>
        <w:shd w:val="clear"/>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6D777278">
      <w:pPr>
        <w:pStyle w:val="12"/>
        <w:shd w:val="clear"/>
        <w:snapToGrid w:val="0"/>
        <w:spacing w:line="360" w:lineRule="auto"/>
        <w:ind w:firstLine="480" w:firstLineChars="200"/>
        <w:jc w:val="left"/>
        <w:rPr>
          <w:rFonts w:hAnsi="宋体" w:eastAsia="宋体"/>
          <w:color w:val="auto"/>
          <w:sz w:val="24"/>
          <w:szCs w:val="28"/>
          <w:highlight w:val="none"/>
        </w:rPr>
      </w:pPr>
    </w:p>
    <w:p w14:paraId="1B25B654">
      <w:pPr>
        <w:shd w:val="clear"/>
        <w:spacing w:line="360" w:lineRule="auto"/>
        <w:ind w:firstLine="360" w:firstLineChars="150"/>
        <w:rPr>
          <w:rFonts w:ascii="宋体" w:hAnsi="宋体" w:eastAsia="宋体"/>
          <w:color w:val="auto"/>
          <w:sz w:val="24"/>
          <w:szCs w:val="28"/>
          <w:highlight w:val="none"/>
        </w:rPr>
      </w:pPr>
      <w:r>
        <w:rPr>
          <w:rFonts w:hint="eastAsia" w:ascii="宋体" w:hAnsi="宋体" w:eastAsia="宋体"/>
          <w:color w:val="auto"/>
          <w:sz w:val="24"/>
          <w:szCs w:val="28"/>
          <w:highlight w:val="none"/>
        </w:rPr>
        <w:t>特此声明。</w:t>
      </w:r>
    </w:p>
    <w:p w14:paraId="02C7CA6B">
      <w:pPr>
        <w:shd w:val="clear"/>
        <w:spacing w:line="360" w:lineRule="auto"/>
        <w:rPr>
          <w:rFonts w:ascii="宋体" w:hAnsi="宋体" w:eastAsia="宋体"/>
          <w:color w:val="auto"/>
          <w:sz w:val="24"/>
          <w:szCs w:val="28"/>
          <w:highlight w:val="none"/>
        </w:rPr>
      </w:pPr>
    </w:p>
    <w:p w14:paraId="54D79B77">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供应商公章：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3A612B2">
      <w:pPr>
        <w:shd w:val="clear"/>
        <w:tabs>
          <w:tab w:val="left" w:pos="630"/>
        </w:tabs>
        <w:spacing w:line="360" w:lineRule="auto"/>
        <w:ind w:firstLine="4800" w:firstLineChars="2000"/>
        <w:rPr>
          <w:rFonts w:ascii="宋体" w:hAnsi="宋体" w:eastAsia="宋体"/>
          <w:color w:val="auto"/>
          <w:sz w:val="24"/>
          <w:szCs w:val="28"/>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78B5726B">
      <w:pPr>
        <w:shd w:val="clear"/>
        <w:spacing w:line="360" w:lineRule="auto"/>
        <w:rPr>
          <w:rFonts w:ascii="宋体" w:hAnsi="宋体" w:eastAsia="宋体"/>
          <w:color w:val="auto"/>
          <w:sz w:val="24"/>
          <w:szCs w:val="28"/>
          <w:highlight w:val="none"/>
        </w:rPr>
      </w:pPr>
    </w:p>
    <w:p w14:paraId="0AE791C2">
      <w:pPr>
        <w:shd w:val="clear"/>
        <w:spacing w:line="360" w:lineRule="auto"/>
        <w:rPr>
          <w:rFonts w:ascii="宋体" w:hAnsi="宋体" w:eastAsia="宋体"/>
          <w:color w:val="auto"/>
          <w:sz w:val="24"/>
          <w:szCs w:val="28"/>
          <w:highlight w:val="none"/>
        </w:rPr>
      </w:pPr>
    </w:p>
    <w:p w14:paraId="7C4C4533">
      <w:pPr>
        <w:pStyle w:val="12"/>
        <w:shd w:val="clear"/>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7325C280">
      <w:pPr>
        <w:pStyle w:val="12"/>
        <w:shd w:val="clear"/>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6A621B43">
      <w:pPr>
        <w:shd w:val="clea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2.法定代表人参加磋商的无需提供授权书，仅提供身份证明扫描件。</w:t>
      </w:r>
    </w:p>
    <w:p w14:paraId="619664A5">
      <w:pPr>
        <w:widowControl/>
        <w:shd w:val="clear"/>
        <w:jc w:val="left"/>
        <w:rPr>
          <w:rFonts w:ascii="宋体" w:hAnsi="宋体" w:eastAsia="宋体"/>
          <w:color w:val="auto"/>
          <w:sz w:val="24"/>
          <w:highlight w:val="none"/>
        </w:rPr>
      </w:pPr>
      <w:r>
        <w:rPr>
          <w:rFonts w:ascii="宋体" w:hAnsi="宋体" w:eastAsia="宋体"/>
          <w:color w:val="auto"/>
          <w:sz w:val="24"/>
          <w:highlight w:val="none"/>
        </w:rPr>
        <w:br w:type="page"/>
      </w:r>
    </w:p>
    <w:p w14:paraId="76B974B1">
      <w:pPr>
        <w:shd w:val="clear"/>
        <w:spacing w:line="360" w:lineRule="auto"/>
        <w:jc w:val="center"/>
        <w:outlineLvl w:val="1"/>
        <w:rPr>
          <w:rFonts w:asciiTheme="minorEastAsia" w:hAnsiTheme="minorEastAsia" w:eastAsiaTheme="minorEastAsia"/>
          <w:b/>
          <w:color w:val="auto"/>
          <w:sz w:val="24"/>
          <w:highlight w:val="none"/>
        </w:rPr>
      </w:pPr>
      <w:bookmarkStart w:id="69" w:name="_Toc28033"/>
      <w:bookmarkStart w:id="70" w:name="_Toc22233"/>
      <w:r>
        <w:rPr>
          <w:rFonts w:hint="eastAsia" w:asciiTheme="minorEastAsia" w:hAnsiTheme="minorEastAsia" w:eastAsiaTheme="minorEastAsia"/>
          <w:b/>
          <w:color w:val="auto"/>
          <w:sz w:val="24"/>
          <w:highlight w:val="none"/>
        </w:rPr>
        <w:t>六、磋商响应表</w:t>
      </w:r>
      <w:bookmarkEnd w:id="69"/>
      <w:bookmarkEnd w:id="70"/>
    </w:p>
    <w:p w14:paraId="406D1CA1">
      <w:pPr>
        <w:shd w:val="clea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102"/>
        <w:gridCol w:w="2739"/>
        <w:gridCol w:w="2823"/>
        <w:gridCol w:w="888"/>
      </w:tblGrid>
      <w:tr w14:paraId="2F43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0691664C">
            <w:pPr>
              <w:pStyle w:val="12"/>
              <w:shd w:val="clear"/>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0D44692E">
            <w:pPr>
              <w:pStyle w:val="12"/>
              <w:shd w:val="clear"/>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7FF1C557">
            <w:pPr>
              <w:pStyle w:val="12"/>
              <w:shd w:val="clear"/>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磋商文件要求</w:t>
            </w:r>
          </w:p>
        </w:tc>
        <w:tc>
          <w:tcPr>
            <w:tcW w:w="1510" w:type="pct"/>
            <w:vAlign w:val="center"/>
          </w:tcPr>
          <w:p w14:paraId="2F3D0645">
            <w:pPr>
              <w:pStyle w:val="12"/>
              <w:shd w:val="clear"/>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供应商承诺</w:t>
            </w:r>
          </w:p>
        </w:tc>
        <w:tc>
          <w:tcPr>
            <w:tcW w:w="475" w:type="pct"/>
            <w:vAlign w:val="center"/>
          </w:tcPr>
          <w:p w14:paraId="06F84209">
            <w:pPr>
              <w:pStyle w:val="12"/>
              <w:shd w:val="clear"/>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3B7D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B515E32">
            <w:pPr>
              <w:shd w:val="clea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5DDF6B93">
            <w:pPr>
              <w:shd w:val="clea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6BDB0287">
            <w:pPr>
              <w:shd w:val="clear"/>
              <w:jc w:val="center"/>
              <w:rPr>
                <w:rFonts w:asciiTheme="minorEastAsia" w:hAnsiTheme="minorEastAsia" w:eastAsiaTheme="minorEastAsia"/>
                <w:color w:val="auto"/>
                <w:sz w:val="24"/>
                <w:highlight w:val="none"/>
              </w:rPr>
            </w:pPr>
          </w:p>
        </w:tc>
        <w:tc>
          <w:tcPr>
            <w:tcW w:w="1510" w:type="pct"/>
            <w:vAlign w:val="center"/>
          </w:tcPr>
          <w:p w14:paraId="6D1D8636">
            <w:pPr>
              <w:shd w:val="clear"/>
              <w:jc w:val="center"/>
              <w:rPr>
                <w:rFonts w:asciiTheme="minorEastAsia" w:hAnsiTheme="minorEastAsia" w:eastAsiaTheme="minorEastAsia"/>
                <w:color w:val="auto"/>
                <w:sz w:val="24"/>
                <w:highlight w:val="none"/>
              </w:rPr>
            </w:pPr>
          </w:p>
        </w:tc>
        <w:tc>
          <w:tcPr>
            <w:tcW w:w="475" w:type="pct"/>
            <w:vAlign w:val="center"/>
          </w:tcPr>
          <w:p w14:paraId="34726CE3">
            <w:pPr>
              <w:shd w:val="clear"/>
              <w:jc w:val="center"/>
              <w:rPr>
                <w:rFonts w:asciiTheme="minorEastAsia" w:hAnsiTheme="minorEastAsia" w:eastAsiaTheme="minorEastAsia"/>
                <w:color w:val="auto"/>
                <w:sz w:val="24"/>
                <w:highlight w:val="none"/>
              </w:rPr>
            </w:pPr>
          </w:p>
        </w:tc>
      </w:tr>
      <w:tr w14:paraId="0490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FB4FE6C">
            <w:pPr>
              <w:shd w:val="clea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6E5BA293">
            <w:pPr>
              <w:shd w:val="clea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6520CCB6">
            <w:pPr>
              <w:shd w:val="clear"/>
              <w:jc w:val="center"/>
              <w:rPr>
                <w:rFonts w:asciiTheme="minorEastAsia" w:hAnsiTheme="minorEastAsia" w:eastAsiaTheme="minorEastAsia"/>
                <w:color w:val="auto"/>
                <w:sz w:val="24"/>
                <w:highlight w:val="none"/>
              </w:rPr>
            </w:pPr>
          </w:p>
        </w:tc>
        <w:tc>
          <w:tcPr>
            <w:tcW w:w="1510" w:type="pct"/>
            <w:vAlign w:val="center"/>
          </w:tcPr>
          <w:p w14:paraId="6245DD16">
            <w:pPr>
              <w:shd w:val="clear"/>
              <w:jc w:val="center"/>
              <w:rPr>
                <w:rFonts w:asciiTheme="minorEastAsia" w:hAnsiTheme="minorEastAsia" w:eastAsiaTheme="minorEastAsia"/>
                <w:color w:val="auto"/>
                <w:sz w:val="24"/>
                <w:highlight w:val="none"/>
              </w:rPr>
            </w:pPr>
          </w:p>
        </w:tc>
        <w:tc>
          <w:tcPr>
            <w:tcW w:w="475" w:type="pct"/>
            <w:vAlign w:val="center"/>
          </w:tcPr>
          <w:p w14:paraId="29F7BBE5">
            <w:pPr>
              <w:shd w:val="clear"/>
              <w:jc w:val="center"/>
              <w:rPr>
                <w:rFonts w:asciiTheme="minorEastAsia" w:hAnsiTheme="minorEastAsia" w:eastAsiaTheme="minorEastAsia"/>
                <w:color w:val="auto"/>
                <w:sz w:val="24"/>
                <w:highlight w:val="none"/>
              </w:rPr>
            </w:pPr>
          </w:p>
        </w:tc>
      </w:tr>
      <w:tr w14:paraId="2F26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ABA5421">
            <w:pPr>
              <w:shd w:val="clea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1204DDB1">
            <w:pPr>
              <w:shd w:val="clea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21070285">
            <w:pPr>
              <w:shd w:val="clear"/>
              <w:jc w:val="center"/>
              <w:rPr>
                <w:rFonts w:asciiTheme="minorEastAsia" w:hAnsiTheme="minorEastAsia" w:eastAsiaTheme="minorEastAsia"/>
                <w:color w:val="auto"/>
                <w:sz w:val="24"/>
                <w:highlight w:val="none"/>
              </w:rPr>
            </w:pPr>
          </w:p>
        </w:tc>
        <w:tc>
          <w:tcPr>
            <w:tcW w:w="1510" w:type="pct"/>
            <w:vAlign w:val="center"/>
          </w:tcPr>
          <w:p w14:paraId="2E155175">
            <w:pPr>
              <w:pStyle w:val="50"/>
              <w:shd w:val="clear"/>
              <w:jc w:val="center"/>
              <w:rPr>
                <w:rFonts w:asciiTheme="minorEastAsia" w:hAnsiTheme="minorEastAsia" w:eastAsiaTheme="minorEastAsia"/>
                <w:color w:val="auto"/>
                <w:highlight w:val="none"/>
              </w:rPr>
            </w:pPr>
          </w:p>
        </w:tc>
        <w:tc>
          <w:tcPr>
            <w:tcW w:w="475" w:type="pct"/>
            <w:vAlign w:val="center"/>
          </w:tcPr>
          <w:p w14:paraId="014AEA22">
            <w:pPr>
              <w:shd w:val="clear"/>
              <w:jc w:val="center"/>
              <w:rPr>
                <w:rFonts w:asciiTheme="minorEastAsia" w:hAnsiTheme="minorEastAsia" w:eastAsiaTheme="minorEastAsia"/>
                <w:color w:val="auto"/>
                <w:sz w:val="24"/>
                <w:highlight w:val="none"/>
              </w:rPr>
            </w:pPr>
          </w:p>
        </w:tc>
      </w:tr>
      <w:tr w14:paraId="5474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BFD9179">
            <w:pPr>
              <w:shd w:val="clea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124" w:type="pct"/>
            <w:vAlign w:val="center"/>
          </w:tcPr>
          <w:p w14:paraId="7EB3B22B">
            <w:pPr>
              <w:shd w:val="clear"/>
              <w:jc w:val="center"/>
              <w:rPr>
                <w:rFonts w:ascii="宋体" w:hAnsi="宋体" w:eastAsia="宋体"/>
                <w:color w:val="auto"/>
                <w:sz w:val="24"/>
                <w:highlight w:val="none"/>
              </w:rPr>
            </w:pPr>
            <w:r>
              <w:rPr>
                <w:rFonts w:hint="eastAsia" w:asciiTheme="minorEastAsia" w:hAnsiTheme="minorEastAsia" w:eastAsiaTheme="minorEastAsia"/>
                <w:color w:val="auto"/>
                <w:sz w:val="24"/>
                <w:szCs w:val="28"/>
                <w:highlight w:val="none"/>
              </w:rPr>
              <w:t>质量标准</w:t>
            </w:r>
          </w:p>
        </w:tc>
        <w:tc>
          <w:tcPr>
            <w:tcW w:w="1465" w:type="pct"/>
            <w:vAlign w:val="center"/>
          </w:tcPr>
          <w:p w14:paraId="3497699A">
            <w:pPr>
              <w:shd w:val="clear"/>
              <w:jc w:val="center"/>
              <w:rPr>
                <w:rFonts w:asciiTheme="minorEastAsia" w:hAnsiTheme="minorEastAsia" w:eastAsiaTheme="minorEastAsia"/>
                <w:color w:val="auto"/>
                <w:sz w:val="24"/>
                <w:highlight w:val="none"/>
              </w:rPr>
            </w:pPr>
          </w:p>
        </w:tc>
        <w:tc>
          <w:tcPr>
            <w:tcW w:w="1510" w:type="pct"/>
            <w:vAlign w:val="center"/>
          </w:tcPr>
          <w:p w14:paraId="1B006932">
            <w:pPr>
              <w:pStyle w:val="50"/>
              <w:shd w:val="clear"/>
              <w:jc w:val="center"/>
              <w:rPr>
                <w:rFonts w:asciiTheme="minorEastAsia" w:hAnsiTheme="minorEastAsia" w:eastAsiaTheme="minorEastAsia"/>
                <w:color w:val="auto"/>
                <w:highlight w:val="none"/>
              </w:rPr>
            </w:pPr>
          </w:p>
        </w:tc>
        <w:tc>
          <w:tcPr>
            <w:tcW w:w="475" w:type="pct"/>
            <w:vAlign w:val="center"/>
          </w:tcPr>
          <w:p w14:paraId="1C94A4F4">
            <w:pPr>
              <w:shd w:val="clear"/>
              <w:jc w:val="center"/>
              <w:rPr>
                <w:rFonts w:asciiTheme="minorEastAsia" w:hAnsiTheme="minorEastAsia" w:eastAsiaTheme="minorEastAsia"/>
                <w:color w:val="auto"/>
                <w:sz w:val="24"/>
                <w:highlight w:val="none"/>
              </w:rPr>
            </w:pPr>
          </w:p>
        </w:tc>
      </w:tr>
      <w:tr w14:paraId="4389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CBF7FC6">
            <w:pPr>
              <w:shd w:val="clea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17A4D300">
            <w:pPr>
              <w:shd w:val="clear"/>
              <w:jc w:val="center"/>
              <w:rPr>
                <w:rFonts w:ascii="宋体" w:hAnsi="宋体" w:eastAsia="宋体"/>
                <w:color w:val="auto"/>
                <w:sz w:val="24"/>
                <w:highlight w:val="none"/>
              </w:rPr>
            </w:pPr>
          </w:p>
        </w:tc>
        <w:tc>
          <w:tcPr>
            <w:tcW w:w="1465" w:type="pct"/>
            <w:vAlign w:val="center"/>
          </w:tcPr>
          <w:p w14:paraId="18552363">
            <w:pPr>
              <w:shd w:val="clear"/>
              <w:jc w:val="center"/>
              <w:rPr>
                <w:rFonts w:asciiTheme="minorEastAsia" w:hAnsiTheme="minorEastAsia" w:eastAsiaTheme="minorEastAsia"/>
                <w:color w:val="auto"/>
                <w:sz w:val="24"/>
                <w:highlight w:val="none"/>
              </w:rPr>
            </w:pPr>
          </w:p>
        </w:tc>
        <w:tc>
          <w:tcPr>
            <w:tcW w:w="1510" w:type="pct"/>
            <w:vAlign w:val="center"/>
          </w:tcPr>
          <w:p w14:paraId="6064141D">
            <w:pPr>
              <w:shd w:val="clear"/>
              <w:jc w:val="center"/>
              <w:rPr>
                <w:rFonts w:asciiTheme="minorEastAsia" w:hAnsiTheme="minorEastAsia" w:eastAsiaTheme="minorEastAsia"/>
                <w:color w:val="auto"/>
                <w:sz w:val="24"/>
                <w:highlight w:val="none"/>
              </w:rPr>
            </w:pPr>
          </w:p>
        </w:tc>
        <w:tc>
          <w:tcPr>
            <w:tcW w:w="475" w:type="pct"/>
            <w:vAlign w:val="center"/>
          </w:tcPr>
          <w:p w14:paraId="5AC0C7FC">
            <w:pPr>
              <w:shd w:val="clear"/>
              <w:jc w:val="center"/>
              <w:rPr>
                <w:rFonts w:asciiTheme="minorEastAsia" w:hAnsiTheme="minorEastAsia" w:eastAsiaTheme="minorEastAsia"/>
                <w:color w:val="auto"/>
                <w:sz w:val="24"/>
                <w:highlight w:val="none"/>
              </w:rPr>
            </w:pPr>
          </w:p>
        </w:tc>
      </w:tr>
    </w:tbl>
    <w:p w14:paraId="2AED2E49">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供应商公章：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54971E5E">
      <w:pPr>
        <w:shd w:val="clea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787CAD14">
      <w:pPr>
        <w:pStyle w:val="13"/>
        <w:shd w:val="clea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124EC5B0">
      <w:pPr>
        <w:shd w:val="clear"/>
        <w:spacing w:line="360" w:lineRule="auto"/>
        <w:jc w:val="center"/>
        <w:outlineLvl w:val="1"/>
        <w:rPr>
          <w:rFonts w:asciiTheme="minorEastAsia" w:hAnsiTheme="minorEastAsia" w:eastAsiaTheme="minorEastAsia"/>
          <w:b/>
          <w:color w:val="auto"/>
          <w:sz w:val="24"/>
          <w:highlight w:val="none"/>
        </w:rPr>
      </w:pPr>
      <w:bookmarkStart w:id="71" w:name="_Toc11260"/>
      <w:bookmarkStart w:id="72" w:name="_Toc29455"/>
      <w:r>
        <w:rPr>
          <w:rFonts w:hint="eastAsia" w:asciiTheme="minorEastAsia" w:hAnsiTheme="minorEastAsia" w:eastAsiaTheme="minorEastAsia"/>
          <w:b/>
          <w:color w:val="auto"/>
          <w:sz w:val="24"/>
          <w:highlight w:val="none"/>
        </w:rPr>
        <w:t>七、联合协议</w:t>
      </w:r>
      <w:bookmarkEnd w:id="71"/>
      <w:bookmarkEnd w:id="72"/>
    </w:p>
    <w:p w14:paraId="62CFFE4F">
      <w:pPr>
        <w:pStyle w:val="22"/>
        <w:shd w:val="clear"/>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（不允许联合体磋商或未组成联合体磋商，不需此件，请删去“联合协议”；允许联合体磋商且供应商为联合体磋商的，请将此件制成扫描件上传，同时删去本提示内容）</w:t>
      </w:r>
    </w:p>
    <w:p w14:paraId="07ACD763">
      <w:pPr>
        <w:shd w:val="clear"/>
        <w:spacing w:line="360" w:lineRule="auto"/>
        <w:ind w:firstLine="435"/>
        <w:rPr>
          <w:rFonts w:asciiTheme="minorEastAsia" w:hAnsiTheme="minorEastAsia" w:eastAsiaTheme="minorEastAsia"/>
          <w:color w:val="auto"/>
          <w:sz w:val="24"/>
          <w:highlight w:val="none"/>
        </w:rPr>
      </w:pPr>
    </w:p>
    <w:p w14:paraId="5F52C70B">
      <w:pPr>
        <w:shd w:val="clea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1B65B2A">
      <w:pPr>
        <w:shd w:val="clea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EE01583">
      <w:pPr>
        <w:shd w:val="clea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4FF7DB1C">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本项目的磋商，</w:t>
      </w:r>
      <w:r>
        <w:rPr>
          <w:rFonts w:asciiTheme="minorEastAsia" w:hAnsiTheme="minorEastAsia" w:eastAsiaTheme="minorEastAsia"/>
          <w:color w:val="auto"/>
          <w:sz w:val="24"/>
          <w:highlight w:val="none"/>
        </w:rPr>
        <w:t>现就联合体参加磋商事宜订立如下协议：</w:t>
      </w:r>
    </w:p>
    <w:p w14:paraId="2E4C6CFA">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（成员单位名称）为联合体牵头人。</w:t>
      </w:r>
    </w:p>
    <w:p w14:paraId="1BE5F404">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17B6CF2E">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0236342A">
      <w:pPr>
        <w:shd w:val="clea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C60A7C2">
      <w:pPr>
        <w:shd w:val="clea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85AD13E">
      <w:pPr>
        <w:shd w:val="clea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794F9792">
      <w:pPr>
        <w:shd w:val="clea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5B83D802">
      <w:pPr>
        <w:shd w:val="clea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3FBD7B15">
      <w:pPr>
        <w:shd w:val="clea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7AE20174">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202B47E9">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547C0330">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718E5BDB">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037F861C">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57ED8AAD">
      <w:pPr>
        <w:pStyle w:val="22"/>
        <w:shd w:val="clear"/>
        <w:spacing w:line="360" w:lineRule="auto"/>
        <w:rPr>
          <w:rFonts w:asciiTheme="minorEastAsia" w:hAnsiTheme="minorEastAsia" w:eastAsiaTheme="minorEastAsia"/>
          <w:color w:val="auto"/>
          <w:sz w:val="24"/>
          <w:highlight w:val="none"/>
        </w:rPr>
      </w:pPr>
    </w:p>
    <w:p w14:paraId="3F15DB1A">
      <w:pPr>
        <w:shd w:val="clear"/>
        <w:spacing w:line="360" w:lineRule="auto"/>
        <w:ind w:right="480" w:firstLine="4680" w:firstLineChars="1950"/>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3C496FEA">
      <w:pPr>
        <w:widowControl/>
        <w:shd w:val="clear"/>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A39ED78">
      <w:pPr>
        <w:shd w:val="clear"/>
        <w:spacing w:line="360" w:lineRule="auto"/>
        <w:jc w:val="center"/>
        <w:outlineLvl w:val="1"/>
        <w:rPr>
          <w:rFonts w:asciiTheme="minorEastAsia" w:hAnsiTheme="minorEastAsia" w:eastAsiaTheme="minorEastAsia"/>
          <w:b/>
          <w:color w:val="auto"/>
          <w:sz w:val="24"/>
          <w:highlight w:val="none"/>
        </w:rPr>
      </w:pPr>
      <w:bookmarkStart w:id="73" w:name="_Toc30332"/>
      <w:bookmarkStart w:id="74" w:name="_Hlk44283017"/>
      <w:r>
        <w:rPr>
          <w:rFonts w:hint="eastAsia" w:asciiTheme="minorEastAsia" w:hAnsiTheme="minorEastAsia" w:eastAsiaTheme="minorEastAsia"/>
          <w:b/>
          <w:color w:val="auto"/>
          <w:sz w:val="24"/>
          <w:highlight w:val="none"/>
        </w:rPr>
        <w:t>八、拟分包情况说明及分包意向协议</w:t>
      </w:r>
      <w:bookmarkEnd w:id="73"/>
    </w:p>
    <w:p w14:paraId="1A7264E0">
      <w:pPr>
        <w:pStyle w:val="8"/>
        <w:shd w:val="clear"/>
        <w:spacing w:after="0" w:line="360" w:lineRule="auto"/>
        <w:jc w:val="center"/>
        <w:rPr>
          <w:rFonts w:ascii="宋体" w:hAnsi="宋体" w:eastAsia="宋体" w:cs="@仿宋_GB2312"/>
          <w:i/>
          <w:iCs/>
          <w:color w:val="auto"/>
          <w:sz w:val="24"/>
          <w:szCs w:val="18"/>
          <w:highlight w:val="none"/>
          <w:lang w:val="en-US"/>
        </w:rPr>
      </w:pPr>
      <w:r>
        <w:rPr>
          <w:rFonts w:hint="eastAsia" w:ascii="宋体" w:hAnsi="宋体" w:eastAsia="宋体" w:cs="@仿宋_GB2312"/>
          <w:i/>
          <w:iCs/>
          <w:color w:val="auto"/>
          <w:sz w:val="24"/>
          <w:szCs w:val="18"/>
          <w:highlight w:val="none"/>
          <w:lang w:val="en-US"/>
        </w:rPr>
        <w:t>（</w:t>
      </w:r>
      <w:r>
        <w:rPr>
          <w:rFonts w:hint="eastAsia" w:ascii="宋体" w:hAnsi="宋体" w:eastAsia="宋体"/>
          <w:i/>
          <w:color w:val="auto"/>
          <w:sz w:val="24"/>
          <w:highlight w:val="none"/>
        </w:rPr>
        <w:t>不允许</w:t>
      </w:r>
      <w:r>
        <w:rPr>
          <w:rFonts w:hint="eastAsia" w:ascii="宋体" w:hAnsi="宋体" w:eastAsia="宋体"/>
          <w:i/>
          <w:color w:val="auto"/>
          <w:sz w:val="24"/>
          <w:highlight w:val="none"/>
          <w:lang w:val="en-US"/>
        </w:rPr>
        <w:t>合同分包</w:t>
      </w:r>
      <w:r>
        <w:rPr>
          <w:rFonts w:hint="eastAsia" w:ascii="宋体" w:hAnsi="宋体" w:eastAsia="宋体"/>
          <w:i/>
          <w:color w:val="auto"/>
          <w:sz w:val="24"/>
          <w:highlight w:val="none"/>
        </w:rPr>
        <w:t>或未</w:t>
      </w:r>
      <w:r>
        <w:rPr>
          <w:rFonts w:hint="eastAsia" w:ascii="宋体" w:hAnsi="宋体" w:eastAsia="宋体"/>
          <w:i/>
          <w:color w:val="auto"/>
          <w:sz w:val="24"/>
          <w:highlight w:val="none"/>
          <w:lang w:val="en-US"/>
        </w:rPr>
        <w:t>采用合同分包的</w:t>
      </w:r>
      <w:r>
        <w:rPr>
          <w:rFonts w:hint="eastAsia" w:ascii="宋体" w:hAnsi="宋体" w:eastAsia="宋体"/>
          <w:i/>
          <w:color w:val="auto"/>
          <w:sz w:val="24"/>
          <w:highlight w:val="none"/>
        </w:rPr>
        <w:t>，</w:t>
      </w:r>
      <w:r>
        <w:rPr>
          <w:rFonts w:hint="eastAsia" w:ascii="宋体" w:hAnsi="宋体" w:eastAsia="宋体" w:cs="@仿宋_GB2312"/>
          <w:i/>
          <w:iCs/>
          <w:color w:val="auto"/>
          <w:sz w:val="24"/>
          <w:szCs w:val="18"/>
          <w:highlight w:val="none"/>
          <w:lang w:val="en-US"/>
        </w:rPr>
        <w:t>不需</w:t>
      </w:r>
      <w:r>
        <w:rPr>
          <w:rFonts w:hint="eastAsia" w:ascii="宋体" w:hAnsi="宋体" w:eastAsia="宋体"/>
          <w:i/>
          <w:color w:val="auto"/>
          <w:sz w:val="24"/>
          <w:highlight w:val="none"/>
          <w:lang w:val="en-US"/>
        </w:rPr>
        <w:t>此件，请删去“拟分包情况说明及分包意向协议”</w:t>
      </w:r>
      <w:r>
        <w:rPr>
          <w:rFonts w:hint="eastAsia" w:ascii="宋体" w:hAnsi="宋体" w:eastAsia="宋体"/>
          <w:i/>
          <w:color w:val="auto"/>
          <w:sz w:val="24"/>
          <w:highlight w:val="none"/>
        </w:rPr>
        <w:t>；</w:t>
      </w:r>
      <w:r>
        <w:rPr>
          <w:rFonts w:hint="eastAsia" w:ascii="宋体" w:hAnsi="宋体" w:eastAsia="宋体"/>
          <w:i/>
          <w:color w:val="auto"/>
          <w:sz w:val="24"/>
          <w:highlight w:val="none"/>
          <w:lang w:val="en-US"/>
        </w:rPr>
        <w:t>允许合同分包且供应商采用合同分包的，请将此件制成扫描件上传，同时删去本提示内容）</w:t>
      </w:r>
    </w:p>
    <w:p w14:paraId="05BC9136">
      <w:pPr>
        <w:shd w:val="clea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（一）拟分包情况说明</w:t>
      </w:r>
    </w:p>
    <w:p w14:paraId="08CF9C4E">
      <w:pPr>
        <w:pStyle w:val="13"/>
        <w:shd w:val="clear"/>
        <w:spacing w:line="360" w:lineRule="auto"/>
        <w:rPr>
          <w:rFonts w:ascii="宋体" w:hAnsi="宋体"/>
          <w:color w:val="auto"/>
          <w:sz w:val="24"/>
          <w:highlight w:val="none"/>
          <w:u w:val="single"/>
        </w:rPr>
      </w:pPr>
      <w:r>
        <w:rPr>
          <w:rFonts w:hint="eastAsia" w:ascii="宋体" w:hAnsi="宋体"/>
          <w:color w:val="auto"/>
          <w:sz w:val="24"/>
          <w:highlight w:val="none"/>
        </w:rPr>
        <w:t>致：采购人</w:t>
      </w:r>
    </w:p>
    <w:p w14:paraId="0D23D0CD">
      <w:pPr>
        <w:pStyle w:val="8"/>
        <w:shd w:val="clear"/>
        <w:spacing w:before="181" w:line="359" w:lineRule="auto"/>
        <w:ind w:left="9" w:right="54" w:firstLine="481"/>
        <w:rPr>
          <w:rFonts w:ascii="宋体" w:hAnsi="宋体" w:eastAsia="宋体" w:cs="宋体"/>
          <w:color w:val="auto"/>
          <w:sz w:val="24"/>
          <w:highlight w:val="none"/>
        </w:rPr>
      </w:pPr>
      <w:r>
        <w:rPr>
          <w:rFonts w:hint="eastAsia" w:ascii="宋体" w:hAnsi="宋体" w:eastAsia="宋体" w:cs="宋体"/>
          <w:color w:val="auto"/>
          <w:spacing w:val="-3"/>
          <w:sz w:val="24"/>
          <w:highlight w:val="none"/>
        </w:rPr>
        <w:t>我单位参加</w:t>
      </w:r>
      <w:r>
        <w:rPr>
          <w:rFonts w:hint="eastAsia" w:ascii="宋体" w:hAnsi="宋体" w:eastAsia="宋体" w:cs="宋体"/>
          <w:color w:val="auto"/>
          <w:spacing w:val="-3"/>
          <w:sz w:val="24"/>
          <w:highlight w:val="none"/>
          <w:lang w:val="en-US"/>
        </w:rPr>
        <w:t>本项目</w:t>
      </w:r>
      <w:r>
        <w:rPr>
          <w:rFonts w:hint="eastAsia" w:cs="@仿宋_GB2312" w:asciiTheme="minorEastAsia" w:hAnsiTheme="minorEastAsia" w:eastAsiaTheme="minorEastAsia"/>
          <w:color w:val="auto"/>
          <w:sz w:val="24"/>
          <w:szCs w:val="20"/>
          <w:highlight w:val="none"/>
          <w:lang w:val="en-US"/>
        </w:rPr>
        <w:t>磋商，拟签订分包合同的单位情况如下表所示，我单位承诺一旦在该项目中获得采购合同将按下表所列情况进行分包，同时承诺分包承担主体不再次分包。</w:t>
      </w:r>
    </w:p>
    <w:tbl>
      <w:tblPr>
        <w:tblStyle w:val="68"/>
        <w:tblW w:w="9111"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286"/>
        <w:gridCol w:w="1684"/>
        <w:gridCol w:w="1122"/>
        <w:gridCol w:w="1390"/>
        <w:gridCol w:w="1497"/>
        <w:gridCol w:w="1569"/>
      </w:tblGrid>
      <w:tr w14:paraId="648C8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63" w:type="dxa"/>
            <w:textDirection w:val="tbRlV"/>
            <w:vAlign w:val="center"/>
          </w:tcPr>
          <w:p w14:paraId="3CC4B6E4">
            <w:pPr>
              <w:shd w:val="clear"/>
              <w:ind w:left="170" w:right="164"/>
              <w:jc w:val="center"/>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序号</w:t>
            </w:r>
          </w:p>
        </w:tc>
        <w:tc>
          <w:tcPr>
            <w:tcW w:w="1286" w:type="dxa"/>
            <w:vAlign w:val="center"/>
          </w:tcPr>
          <w:p w14:paraId="54E820C5">
            <w:pPr>
              <w:shd w:val="clear"/>
              <w:ind w:left="170" w:right="164"/>
              <w:jc w:val="center"/>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分包承担主体名称</w:t>
            </w:r>
          </w:p>
        </w:tc>
        <w:tc>
          <w:tcPr>
            <w:tcW w:w="1684" w:type="dxa"/>
            <w:vAlign w:val="center"/>
          </w:tcPr>
          <w:p w14:paraId="59BB50E7">
            <w:pPr>
              <w:shd w:val="clear"/>
              <w:ind w:left="170" w:right="164"/>
              <w:jc w:val="center"/>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分包承担主体类型（选择）</w:t>
            </w:r>
          </w:p>
        </w:tc>
        <w:tc>
          <w:tcPr>
            <w:tcW w:w="1122" w:type="dxa"/>
            <w:vAlign w:val="center"/>
          </w:tcPr>
          <w:p w14:paraId="2CBA8E90">
            <w:pPr>
              <w:shd w:val="clear"/>
              <w:ind w:left="170" w:right="164"/>
              <w:jc w:val="center"/>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资质等级</w:t>
            </w:r>
          </w:p>
        </w:tc>
        <w:tc>
          <w:tcPr>
            <w:tcW w:w="1390" w:type="dxa"/>
            <w:vAlign w:val="center"/>
          </w:tcPr>
          <w:p w14:paraId="3D205A40">
            <w:pPr>
              <w:shd w:val="clear"/>
              <w:ind w:left="170" w:right="164"/>
              <w:jc w:val="center"/>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拟分包合同内容</w:t>
            </w:r>
          </w:p>
        </w:tc>
        <w:tc>
          <w:tcPr>
            <w:tcW w:w="1497" w:type="dxa"/>
            <w:vAlign w:val="center"/>
          </w:tcPr>
          <w:p w14:paraId="594DDFBD">
            <w:pPr>
              <w:shd w:val="clear"/>
              <w:ind w:left="170" w:right="164"/>
              <w:jc w:val="center"/>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拟分包合同金额（人民币元）</w:t>
            </w:r>
          </w:p>
        </w:tc>
        <w:tc>
          <w:tcPr>
            <w:tcW w:w="1569" w:type="dxa"/>
            <w:vAlign w:val="center"/>
          </w:tcPr>
          <w:p w14:paraId="22FD0F9D">
            <w:pPr>
              <w:shd w:val="clear"/>
              <w:ind w:left="170" w:right="164"/>
              <w:jc w:val="center"/>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占合同金额的比例（%）</w:t>
            </w:r>
          </w:p>
        </w:tc>
      </w:tr>
      <w:tr w14:paraId="6B7CC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63" w:type="dxa"/>
            <w:vAlign w:val="center"/>
          </w:tcPr>
          <w:p w14:paraId="4964FEFE">
            <w:pPr>
              <w:pStyle w:val="69"/>
              <w:shd w:val="clear"/>
              <w:spacing w:before="69" w:line="199"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86" w:type="dxa"/>
            <w:vAlign w:val="center"/>
          </w:tcPr>
          <w:p w14:paraId="2005FBB6">
            <w:pPr>
              <w:pStyle w:val="69"/>
              <w:shd w:val="clear"/>
              <w:rPr>
                <w:rFonts w:ascii="宋体" w:hAnsi="宋体" w:eastAsia="宋体" w:cs="宋体"/>
                <w:color w:val="auto"/>
                <w:highlight w:val="none"/>
              </w:rPr>
            </w:pPr>
          </w:p>
        </w:tc>
        <w:tc>
          <w:tcPr>
            <w:tcW w:w="1684" w:type="dxa"/>
            <w:vAlign w:val="center"/>
          </w:tcPr>
          <w:p w14:paraId="70619642">
            <w:pPr>
              <w:pStyle w:val="69"/>
              <w:shd w:val="clear"/>
              <w:spacing w:before="37" w:line="221" w:lineRule="auto"/>
              <w:ind w:left="134"/>
              <w:rPr>
                <w:rFonts w:ascii="宋体" w:hAnsi="宋体" w:eastAsia="宋体" w:cs="宋体"/>
                <w:color w:val="auto"/>
                <w:sz w:val="24"/>
                <w:szCs w:val="24"/>
                <w:highlight w:val="none"/>
                <w:lang w:eastAsia="zh-CN"/>
              </w:rPr>
            </w:pPr>
            <w:r>
              <w:rPr>
                <w:rFonts w:hint="eastAsia" w:ascii="宋体" w:hAnsi="宋体" w:eastAsia="宋体" w:cs="宋体"/>
                <w:color w:val="auto"/>
                <w:spacing w:val="11"/>
                <w:sz w:val="24"/>
                <w:szCs w:val="24"/>
                <w:highlight w:val="none"/>
                <w:lang w:eastAsia="zh-CN"/>
              </w:rPr>
              <w:t>□中型企业</w:t>
            </w:r>
          </w:p>
          <w:p w14:paraId="27600BB1">
            <w:pPr>
              <w:pStyle w:val="69"/>
              <w:shd w:val="clear"/>
              <w:spacing w:before="22" w:line="223" w:lineRule="auto"/>
              <w:ind w:left="373" w:right="208" w:hanging="239"/>
              <w:rPr>
                <w:rFonts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□小微企业</w:t>
            </w:r>
          </w:p>
          <w:p w14:paraId="28811F15">
            <w:pPr>
              <w:pStyle w:val="69"/>
              <w:shd w:val="clear"/>
              <w:spacing w:before="22" w:line="223" w:lineRule="auto"/>
              <w:ind w:left="373" w:right="208" w:hanging="239"/>
              <w:rPr>
                <w:rFonts w:ascii="宋体" w:hAnsi="宋体" w:eastAsia="宋体" w:cs="宋体"/>
                <w:color w:val="auto"/>
                <w:sz w:val="24"/>
                <w:szCs w:val="24"/>
                <w:highlight w:val="none"/>
                <w:lang w:eastAsia="zh-CN"/>
              </w:rPr>
            </w:pPr>
            <w:r>
              <w:rPr>
                <w:rFonts w:hint="eastAsia" w:ascii="宋体" w:hAnsi="宋体" w:eastAsia="宋体" w:cs="宋体"/>
                <w:color w:val="auto"/>
                <w:spacing w:val="19"/>
                <w:sz w:val="24"/>
                <w:szCs w:val="24"/>
                <w:highlight w:val="none"/>
                <w:lang w:eastAsia="zh-CN"/>
              </w:rPr>
              <w:t>□其他</w:t>
            </w:r>
          </w:p>
        </w:tc>
        <w:tc>
          <w:tcPr>
            <w:tcW w:w="1122" w:type="dxa"/>
            <w:vAlign w:val="center"/>
          </w:tcPr>
          <w:p w14:paraId="12D8CBDA">
            <w:pPr>
              <w:pStyle w:val="69"/>
              <w:shd w:val="clear"/>
              <w:rPr>
                <w:rFonts w:ascii="宋体" w:hAnsi="宋体" w:eastAsia="宋体" w:cs="宋体"/>
                <w:color w:val="auto"/>
                <w:highlight w:val="none"/>
                <w:lang w:eastAsia="zh-CN"/>
              </w:rPr>
            </w:pPr>
          </w:p>
        </w:tc>
        <w:tc>
          <w:tcPr>
            <w:tcW w:w="1390" w:type="dxa"/>
            <w:vAlign w:val="center"/>
          </w:tcPr>
          <w:p w14:paraId="008A6647">
            <w:pPr>
              <w:pStyle w:val="69"/>
              <w:shd w:val="clear"/>
              <w:rPr>
                <w:rFonts w:ascii="宋体" w:hAnsi="宋体" w:eastAsia="宋体" w:cs="宋体"/>
                <w:color w:val="auto"/>
                <w:highlight w:val="none"/>
                <w:lang w:eastAsia="zh-CN"/>
              </w:rPr>
            </w:pPr>
          </w:p>
        </w:tc>
        <w:tc>
          <w:tcPr>
            <w:tcW w:w="1497" w:type="dxa"/>
            <w:vAlign w:val="center"/>
          </w:tcPr>
          <w:p w14:paraId="170E343C">
            <w:pPr>
              <w:pStyle w:val="69"/>
              <w:shd w:val="clear"/>
              <w:rPr>
                <w:rFonts w:ascii="宋体" w:hAnsi="宋体" w:eastAsia="宋体" w:cs="宋体"/>
                <w:color w:val="auto"/>
                <w:highlight w:val="none"/>
                <w:lang w:eastAsia="zh-CN"/>
              </w:rPr>
            </w:pPr>
          </w:p>
        </w:tc>
        <w:tc>
          <w:tcPr>
            <w:tcW w:w="1569" w:type="dxa"/>
            <w:vAlign w:val="center"/>
          </w:tcPr>
          <w:p w14:paraId="4F9F98F4">
            <w:pPr>
              <w:pStyle w:val="69"/>
              <w:shd w:val="clear"/>
              <w:rPr>
                <w:rFonts w:ascii="宋体" w:hAnsi="宋体" w:eastAsia="宋体" w:cs="宋体"/>
                <w:color w:val="auto"/>
                <w:highlight w:val="none"/>
                <w:lang w:eastAsia="zh-CN"/>
              </w:rPr>
            </w:pPr>
          </w:p>
        </w:tc>
      </w:tr>
      <w:tr w14:paraId="2FF77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563" w:type="dxa"/>
            <w:vAlign w:val="center"/>
          </w:tcPr>
          <w:p w14:paraId="563B27E9">
            <w:pPr>
              <w:pStyle w:val="69"/>
              <w:shd w:val="clear"/>
              <w:spacing w:before="69" w:line="201" w:lineRule="auto"/>
              <w:jc w:val="center"/>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p>
        </w:tc>
        <w:tc>
          <w:tcPr>
            <w:tcW w:w="1286" w:type="dxa"/>
            <w:vAlign w:val="center"/>
          </w:tcPr>
          <w:p w14:paraId="7F7B2B37">
            <w:pPr>
              <w:pStyle w:val="69"/>
              <w:shd w:val="clear"/>
              <w:rPr>
                <w:rFonts w:ascii="宋体" w:hAnsi="宋体" w:eastAsia="宋体" w:cs="宋体"/>
                <w:color w:val="auto"/>
                <w:highlight w:val="none"/>
              </w:rPr>
            </w:pPr>
          </w:p>
        </w:tc>
        <w:tc>
          <w:tcPr>
            <w:tcW w:w="1684" w:type="dxa"/>
            <w:vAlign w:val="center"/>
          </w:tcPr>
          <w:p w14:paraId="6B5597EB">
            <w:pPr>
              <w:pStyle w:val="69"/>
              <w:shd w:val="clear"/>
              <w:spacing w:before="38" w:line="221" w:lineRule="auto"/>
              <w:ind w:left="134"/>
              <w:rPr>
                <w:rFonts w:ascii="宋体" w:hAnsi="宋体" w:eastAsia="宋体" w:cs="宋体"/>
                <w:color w:val="auto"/>
                <w:sz w:val="24"/>
                <w:szCs w:val="24"/>
                <w:highlight w:val="none"/>
                <w:lang w:eastAsia="zh-CN"/>
              </w:rPr>
            </w:pPr>
            <w:r>
              <w:rPr>
                <w:rFonts w:hint="eastAsia" w:ascii="宋体" w:hAnsi="宋体" w:eastAsia="宋体" w:cs="宋体"/>
                <w:color w:val="auto"/>
                <w:spacing w:val="11"/>
                <w:sz w:val="24"/>
                <w:szCs w:val="24"/>
                <w:highlight w:val="none"/>
                <w:lang w:eastAsia="zh-CN"/>
              </w:rPr>
              <w:t>□中型企业</w:t>
            </w:r>
          </w:p>
          <w:p w14:paraId="2EE8C7A0">
            <w:pPr>
              <w:pStyle w:val="69"/>
              <w:shd w:val="clear"/>
              <w:spacing w:before="25" w:line="222" w:lineRule="auto"/>
              <w:ind w:left="373" w:right="208" w:hanging="239"/>
              <w:rPr>
                <w:rFonts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□小微企业</w:t>
            </w:r>
          </w:p>
          <w:p w14:paraId="72E3F5C4">
            <w:pPr>
              <w:pStyle w:val="69"/>
              <w:shd w:val="clear"/>
              <w:spacing w:before="25" w:line="222" w:lineRule="auto"/>
              <w:ind w:left="373" w:right="208" w:hanging="239"/>
              <w:rPr>
                <w:rFonts w:ascii="宋体" w:hAnsi="宋体" w:eastAsia="宋体" w:cs="宋体"/>
                <w:color w:val="auto"/>
                <w:sz w:val="24"/>
                <w:szCs w:val="24"/>
                <w:highlight w:val="none"/>
                <w:lang w:eastAsia="zh-CN"/>
              </w:rPr>
            </w:pPr>
            <w:r>
              <w:rPr>
                <w:rFonts w:hint="eastAsia" w:ascii="宋体" w:hAnsi="宋体" w:eastAsia="宋体" w:cs="宋体"/>
                <w:color w:val="auto"/>
                <w:spacing w:val="19"/>
                <w:sz w:val="24"/>
                <w:szCs w:val="24"/>
                <w:highlight w:val="none"/>
                <w:lang w:eastAsia="zh-CN"/>
              </w:rPr>
              <w:t>□其他</w:t>
            </w:r>
          </w:p>
        </w:tc>
        <w:tc>
          <w:tcPr>
            <w:tcW w:w="1122" w:type="dxa"/>
            <w:vAlign w:val="center"/>
          </w:tcPr>
          <w:p w14:paraId="18D9ED23">
            <w:pPr>
              <w:pStyle w:val="69"/>
              <w:shd w:val="clear"/>
              <w:rPr>
                <w:rFonts w:ascii="宋体" w:hAnsi="宋体" w:eastAsia="宋体" w:cs="宋体"/>
                <w:color w:val="auto"/>
                <w:highlight w:val="none"/>
                <w:lang w:eastAsia="zh-CN"/>
              </w:rPr>
            </w:pPr>
          </w:p>
        </w:tc>
        <w:tc>
          <w:tcPr>
            <w:tcW w:w="1390" w:type="dxa"/>
            <w:vAlign w:val="center"/>
          </w:tcPr>
          <w:p w14:paraId="3B21F09D">
            <w:pPr>
              <w:pStyle w:val="69"/>
              <w:shd w:val="clear"/>
              <w:rPr>
                <w:rFonts w:ascii="宋体" w:hAnsi="宋体" w:eastAsia="宋体" w:cs="宋体"/>
                <w:color w:val="auto"/>
                <w:highlight w:val="none"/>
                <w:lang w:eastAsia="zh-CN"/>
              </w:rPr>
            </w:pPr>
          </w:p>
        </w:tc>
        <w:tc>
          <w:tcPr>
            <w:tcW w:w="1497" w:type="dxa"/>
            <w:vAlign w:val="center"/>
          </w:tcPr>
          <w:p w14:paraId="0271A6C9">
            <w:pPr>
              <w:pStyle w:val="69"/>
              <w:shd w:val="clear"/>
              <w:rPr>
                <w:rFonts w:ascii="宋体" w:hAnsi="宋体" w:eastAsia="宋体" w:cs="宋体"/>
                <w:color w:val="auto"/>
                <w:highlight w:val="none"/>
                <w:lang w:eastAsia="zh-CN"/>
              </w:rPr>
            </w:pPr>
          </w:p>
        </w:tc>
        <w:tc>
          <w:tcPr>
            <w:tcW w:w="1569" w:type="dxa"/>
            <w:vAlign w:val="center"/>
          </w:tcPr>
          <w:p w14:paraId="06354358">
            <w:pPr>
              <w:pStyle w:val="69"/>
              <w:shd w:val="clear"/>
              <w:rPr>
                <w:rFonts w:ascii="宋体" w:hAnsi="宋体" w:eastAsia="宋体" w:cs="宋体"/>
                <w:color w:val="auto"/>
                <w:highlight w:val="none"/>
                <w:lang w:eastAsia="zh-CN"/>
              </w:rPr>
            </w:pPr>
          </w:p>
        </w:tc>
      </w:tr>
      <w:tr w14:paraId="0603B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3" w:type="dxa"/>
            <w:vAlign w:val="center"/>
          </w:tcPr>
          <w:p w14:paraId="1B1F168D">
            <w:pPr>
              <w:pStyle w:val="69"/>
              <w:shd w:val="clear"/>
              <w:spacing w:before="69" w:line="81" w:lineRule="exact"/>
              <w:jc w:val="center"/>
              <w:rPr>
                <w:rFonts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w:t>
            </w:r>
          </w:p>
        </w:tc>
        <w:tc>
          <w:tcPr>
            <w:tcW w:w="1286" w:type="dxa"/>
            <w:vAlign w:val="center"/>
          </w:tcPr>
          <w:p w14:paraId="63121A61">
            <w:pPr>
              <w:pStyle w:val="69"/>
              <w:shd w:val="clear"/>
              <w:rPr>
                <w:rFonts w:ascii="宋体" w:hAnsi="宋体" w:eastAsia="宋体" w:cs="宋体"/>
                <w:color w:val="auto"/>
                <w:highlight w:val="none"/>
              </w:rPr>
            </w:pPr>
          </w:p>
        </w:tc>
        <w:tc>
          <w:tcPr>
            <w:tcW w:w="1684" w:type="dxa"/>
            <w:vAlign w:val="center"/>
          </w:tcPr>
          <w:p w14:paraId="62297D2E">
            <w:pPr>
              <w:pStyle w:val="69"/>
              <w:shd w:val="clear"/>
              <w:rPr>
                <w:rFonts w:ascii="宋体" w:hAnsi="宋体" w:eastAsia="宋体" w:cs="宋体"/>
                <w:color w:val="auto"/>
                <w:highlight w:val="none"/>
              </w:rPr>
            </w:pPr>
          </w:p>
        </w:tc>
        <w:tc>
          <w:tcPr>
            <w:tcW w:w="1122" w:type="dxa"/>
            <w:vAlign w:val="center"/>
          </w:tcPr>
          <w:p w14:paraId="1CF2EF95">
            <w:pPr>
              <w:pStyle w:val="69"/>
              <w:shd w:val="clear"/>
              <w:rPr>
                <w:rFonts w:ascii="宋体" w:hAnsi="宋体" w:eastAsia="宋体" w:cs="宋体"/>
                <w:color w:val="auto"/>
                <w:highlight w:val="none"/>
              </w:rPr>
            </w:pPr>
          </w:p>
        </w:tc>
        <w:tc>
          <w:tcPr>
            <w:tcW w:w="1390" w:type="dxa"/>
            <w:vAlign w:val="center"/>
          </w:tcPr>
          <w:p w14:paraId="331A41EF">
            <w:pPr>
              <w:pStyle w:val="69"/>
              <w:shd w:val="clear"/>
              <w:rPr>
                <w:rFonts w:ascii="宋体" w:hAnsi="宋体" w:eastAsia="宋体" w:cs="宋体"/>
                <w:color w:val="auto"/>
                <w:highlight w:val="none"/>
              </w:rPr>
            </w:pPr>
          </w:p>
        </w:tc>
        <w:tc>
          <w:tcPr>
            <w:tcW w:w="1497" w:type="dxa"/>
            <w:vAlign w:val="center"/>
          </w:tcPr>
          <w:p w14:paraId="10F3ACC7">
            <w:pPr>
              <w:pStyle w:val="69"/>
              <w:shd w:val="clear"/>
              <w:rPr>
                <w:rFonts w:ascii="宋体" w:hAnsi="宋体" w:eastAsia="宋体" w:cs="宋体"/>
                <w:color w:val="auto"/>
                <w:highlight w:val="none"/>
              </w:rPr>
            </w:pPr>
          </w:p>
        </w:tc>
        <w:tc>
          <w:tcPr>
            <w:tcW w:w="1569" w:type="dxa"/>
            <w:vAlign w:val="center"/>
          </w:tcPr>
          <w:p w14:paraId="44B31636">
            <w:pPr>
              <w:pStyle w:val="69"/>
              <w:shd w:val="clear"/>
              <w:rPr>
                <w:rFonts w:ascii="宋体" w:hAnsi="宋体" w:eastAsia="宋体" w:cs="宋体"/>
                <w:color w:val="auto"/>
                <w:highlight w:val="none"/>
              </w:rPr>
            </w:pPr>
          </w:p>
        </w:tc>
      </w:tr>
      <w:tr w14:paraId="4216A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045" w:type="dxa"/>
            <w:gridSpan w:val="5"/>
            <w:vAlign w:val="center"/>
          </w:tcPr>
          <w:p w14:paraId="3F7E2113">
            <w:pPr>
              <w:shd w:val="clear"/>
              <w:spacing w:before="193" w:line="222" w:lineRule="auto"/>
              <w:ind w:left="5170"/>
              <w:rPr>
                <w:rFonts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合计：</w:t>
            </w:r>
          </w:p>
        </w:tc>
        <w:tc>
          <w:tcPr>
            <w:tcW w:w="1497" w:type="dxa"/>
            <w:vAlign w:val="center"/>
          </w:tcPr>
          <w:p w14:paraId="610FB909">
            <w:pPr>
              <w:pStyle w:val="69"/>
              <w:shd w:val="clear"/>
              <w:rPr>
                <w:rFonts w:ascii="宋体" w:hAnsi="宋体" w:eastAsia="宋体" w:cs="宋体"/>
                <w:color w:val="auto"/>
                <w:highlight w:val="none"/>
              </w:rPr>
            </w:pPr>
          </w:p>
        </w:tc>
        <w:tc>
          <w:tcPr>
            <w:tcW w:w="1569" w:type="dxa"/>
            <w:vAlign w:val="center"/>
          </w:tcPr>
          <w:p w14:paraId="499F75BF">
            <w:pPr>
              <w:pStyle w:val="69"/>
              <w:shd w:val="clear"/>
              <w:rPr>
                <w:rFonts w:ascii="宋体" w:hAnsi="宋体" w:eastAsia="宋体" w:cs="宋体"/>
                <w:color w:val="auto"/>
                <w:highlight w:val="none"/>
              </w:rPr>
            </w:pPr>
          </w:p>
        </w:tc>
      </w:tr>
    </w:tbl>
    <w:p w14:paraId="3B70F297">
      <w:pPr>
        <w:shd w:val="clear"/>
        <w:spacing w:line="272" w:lineRule="auto"/>
        <w:rPr>
          <w:rFonts w:ascii="宋体" w:hAnsi="宋体" w:eastAsia="宋体" w:cs="宋体"/>
          <w:color w:val="auto"/>
          <w:highlight w:val="none"/>
        </w:rPr>
      </w:pPr>
    </w:p>
    <w:p w14:paraId="12A0D3F9">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供应商公章：</w:t>
      </w:r>
      <w:r>
        <w:rPr>
          <w:rFonts w:hint="eastAsia" w:ascii="宋体" w:hAnsi="宋体" w:eastAsia="宋体"/>
          <w:color w:val="auto"/>
          <w:sz w:val="24"/>
          <w:highlight w:val="none"/>
          <w:u w:val="single"/>
        </w:rPr>
        <w:t xml:space="preserve">             </w:t>
      </w:r>
    </w:p>
    <w:p w14:paraId="41F6DFC5">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69393CC">
      <w:pPr>
        <w:pStyle w:val="8"/>
        <w:shd w:val="clear"/>
        <w:spacing w:before="1" w:line="224" w:lineRule="auto"/>
        <w:ind w:left="9"/>
        <w:rPr>
          <w:rFonts w:ascii="宋体" w:hAnsi="宋体" w:eastAsia="宋体" w:cs="宋体"/>
          <w:color w:val="auto"/>
          <w:sz w:val="24"/>
          <w:highlight w:val="none"/>
        </w:rPr>
      </w:pPr>
      <w:r>
        <w:rPr>
          <w:rFonts w:hint="eastAsia" w:ascii="宋体" w:hAnsi="宋体" w:eastAsia="宋体" w:cs="宋体"/>
          <w:color w:val="auto"/>
          <w:spacing w:val="-17"/>
          <w:sz w:val="24"/>
          <w:highlight w:val="none"/>
        </w:rPr>
        <w:t>注：</w:t>
      </w:r>
    </w:p>
    <w:p w14:paraId="37E5F3E8">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1.拟分包情况说明仅需加盖供应商公章。</w:t>
      </w:r>
    </w:p>
    <w:p w14:paraId="0742C6DB">
      <w:pPr>
        <w:shd w:val="clea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2.考虑</w:t>
      </w:r>
      <w:r>
        <w:rPr>
          <w:rFonts w:hint="eastAsia" w:ascii="宋体" w:hAnsi="宋体" w:eastAsia="宋体" w:cs="宋体"/>
          <w:color w:val="auto"/>
          <w:spacing w:val="-4"/>
          <w:sz w:val="24"/>
          <w:szCs w:val="24"/>
          <w:highlight w:val="none"/>
        </w:rPr>
        <w:t>拟分包合同金额</w:t>
      </w:r>
      <w:r>
        <w:rPr>
          <w:rFonts w:hint="eastAsia" w:ascii="宋体" w:hAnsi="宋体" w:eastAsia="宋体"/>
          <w:color w:val="auto"/>
          <w:sz w:val="24"/>
          <w:highlight w:val="none"/>
        </w:rPr>
        <w:t>的方便，供应商在填写最后承诺报价后，（第一次报价-最后承诺报价）除以第一次报价后得出的优惠率视同为上述表中</w:t>
      </w:r>
      <w:r>
        <w:rPr>
          <w:rFonts w:hint="eastAsia" w:ascii="宋体" w:hAnsi="宋体" w:eastAsia="宋体" w:cs="宋体"/>
          <w:color w:val="auto"/>
          <w:spacing w:val="-4"/>
          <w:sz w:val="24"/>
          <w:szCs w:val="24"/>
          <w:highlight w:val="none"/>
        </w:rPr>
        <w:t>拟分包合同金额</w:t>
      </w:r>
      <w:r>
        <w:rPr>
          <w:rFonts w:hint="eastAsia" w:ascii="宋体" w:hAnsi="宋体" w:eastAsia="宋体"/>
          <w:color w:val="auto"/>
          <w:sz w:val="24"/>
          <w:highlight w:val="none"/>
        </w:rPr>
        <w:t>的优惠浮动值（特定分项优惠除外），而不考虑措施项目清单和规费税金清单的金额改变</w:t>
      </w:r>
      <w:r>
        <w:rPr>
          <w:rFonts w:hint="eastAsia" w:ascii="宋体" w:hAnsi="宋体" w:eastAsia="宋体"/>
          <w:bCs/>
          <w:color w:val="auto"/>
          <w:sz w:val="24"/>
          <w:highlight w:val="none"/>
        </w:rPr>
        <w:t>。</w:t>
      </w:r>
    </w:p>
    <w:p w14:paraId="623F60DD">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3.如磋商文件载明本项目分包承担主体应具备的相应资质条件，则供应商须在本表中列明分包承担主体的资质等级，并后附材料扫描件或电子证照，否则</w:t>
      </w:r>
      <w:r>
        <w:rPr>
          <w:rFonts w:hint="eastAsia" w:asciiTheme="minorEastAsia" w:hAnsiTheme="minorEastAsia" w:eastAsiaTheme="minorEastAsia"/>
          <w:b/>
          <w:bCs/>
          <w:color w:val="auto"/>
          <w:sz w:val="24"/>
          <w:highlight w:val="none"/>
        </w:rPr>
        <w:t>响应无效</w:t>
      </w:r>
      <w:r>
        <w:rPr>
          <w:rFonts w:hint="eastAsia" w:asciiTheme="minorEastAsia" w:hAnsiTheme="minorEastAsia" w:eastAsiaTheme="minorEastAsia"/>
          <w:color w:val="auto"/>
          <w:sz w:val="24"/>
          <w:highlight w:val="none"/>
        </w:rPr>
        <w:t>。</w:t>
      </w:r>
    </w:p>
    <w:p w14:paraId="01A4945A">
      <w:pPr>
        <w:shd w:val="clear"/>
        <w:spacing w:line="220" w:lineRule="auto"/>
        <w:rPr>
          <w:rFonts w:ascii="宋体" w:hAnsi="宋体" w:eastAsia="宋体" w:cs="宋体"/>
          <w:color w:val="auto"/>
          <w:sz w:val="24"/>
          <w:szCs w:val="24"/>
          <w:highlight w:val="none"/>
        </w:rPr>
        <w:sectPr>
          <w:headerReference r:id="rId8" w:type="default"/>
          <w:footerReference r:id="rId9" w:type="default"/>
          <w:pgSz w:w="11907" w:h="16840"/>
          <w:pgMar w:top="1117" w:right="1078" w:bottom="1060" w:left="1700" w:header="510" w:footer="886" w:gutter="0"/>
          <w:pgNumType w:start="1"/>
          <w:cols w:space="720" w:num="1"/>
        </w:sectPr>
      </w:pPr>
    </w:p>
    <w:p w14:paraId="16B29F37">
      <w:pPr>
        <w:shd w:val="clea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（二）分包意向协议</w:t>
      </w:r>
    </w:p>
    <w:p w14:paraId="517B9CD9">
      <w:pPr>
        <w:shd w:val="clea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供应商名称：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7343181">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接受分包企业一名称：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8A7B2B8">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接受分包企业二名称：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2398767">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2AF53E70">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依据《政府采购促进中小企业发展管理办法》（财库〔2020〕46号）第八条规定，</w:t>
      </w:r>
      <w:r>
        <w:rPr>
          <w:rFonts w:asciiTheme="minorEastAsia" w:hAnsiTheme="minorEastAsia" w:eastAsiaTheme="minorEastAsia"/>
          <w:color w:val="auto"/>
          <w:sz w:val="24"/>
          <w:highlight w:val="none"/>
        </w:rPr>
        <w:t>现就</w:t>
      </w:r>
      <w:r>
        <w:rPr>
          <w:rFonts w:hint="eastAsia" w:asciiTheme="minorEastAsia" w:hAnsiTheme="minorEastAsia" w:eastAsiaTheme="minorEastAsia"/>
          <w:color w:val="auto"/>
          <w:sz w:val="24"/>
          <w:highlight w:val="none"/>
        </w:rPr>
        <w:t>分包意向</w:t>
      </w:r>
      <w:r>
        <w:rPr>
          <w:rFonts w:asciiTheme="minorEastAsia" w:hAnsiTheme="minorEastAsia" w:eastAsiaTheme="minorEastAsia"/>
          <w:color w:val="auto"/>
          <w:sz w:val="24"/>
          <w:highlight w:val="none"/>
        </w:rPr>
        <w:t>事宜订立如下协议：</w:t>
      </w:r>
    </w:p>
    <w:p w14:paraId="1254B3BE">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1.本项目供应商为本项目总承包单位。</w:t>
      </w:r>
    </w:p>
    <w:p w14:paraId="67C7EE7C">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磋商阶段，总承包单位负责磋商项目的一切组织、协调工作，并授权代理人参加项目的磋商，代理人在项目采购过程中所签署的一切文件和处理与本次磋商有关的一切事务，总承包单位与采购人签订本项目采购合同，分别与各分包企业签订分包合同，就本项目对采购人承担连带责任。</w:t>
      </w:r>
    </w:p>
    <w:p w14:paraId="68487390">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各</w:t>
      </w:r>
      <w:r>
        <w:rPr>
          <w:rFonts w:asciiTheme="minorEastAsia" w:hAnsiTheme="minorEastAsia" w:eastAsiaTheme="minorEastAsia"/>
          <w:color w:val="auto"/>
          <w:sz w:val="24"/>
          <w:highlight w:val="none"/>
        </w:rPr>
        <w:t>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2941DA56">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5352362">
      <w:pPr>
        <w:shd w:val="clea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接受分包企业一名称：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4754128">
      <w:pPr>
        <w:shd w:val="clea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接受分包企业二名称：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2702B48">
      <w:pPr>
        <w:shd w:val="clea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29DAEE34">
      <w:pPr>
        <w:shd w:val="clea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w:t>
      </w:r>
      <w:r>
        <w:rPr>
          <w:rFonts w:hint="eastAsia" w:asciiTheme="minorEastAsia" w:hAnsiTheme="minorEastAsia" w:eastAsiaTheme="minorEastAsia"/>
          <w:color w:val="auto"/>
          <w:sz w:val="24"/>
          <w:highlight w:val="none"/>
        </w:rPr>
        <w:t>分包意向</w:t>
      </w:r>
      <w:r>
        <w:rPr>
          <w:rFonts w:asciiTheme="minorEastAsia" w:hAnsiTheme="minorEastAsia" w:eastAsiaTheme="minorEastAsia"/>
          <w:color w:val="auto"/>
          <w:sz w:val="24"/>
          <w:highlight w:val="none"/>
        </w:rPr>
        <w:t>协议是合同的附件，对</w:t>
      </w:r>
      <w:r>
        <w:rPr>
          <w:rFonts w:hint="eastAsia" w:asciiTheme="minorEastAsia" w:hAnsiTheme="minorEastAsia" w:eastAsiaTheme="minorEastAsia"/>
          <w:color w:val="auto"/>
          <w:sz w:val="24"/>
          <w:highlight w:val="none"/>
        </w:rPr>
        <w:t>分包</w:t>
      </w:r>
      <w:r>
        <w:rPr>
          <w:rFonts w:asciiTheme="minorEastAsia" w:hAnsiTheme="minorEastAsia" w:eastAsiaTheme="minorEastAsia"/>
          <w:color w:val="auto"/>
          <w:sz w:val="24"/>
          <w:highlight w:val="none"/>
        </w:rPr>
        <w:t>各成员单位有合同约束力。</w:t>
      </w:r>
    </w:p>
    <w:p w14:paraId="2698873A">
      <w:pPr>
        <w:shd w:val="clea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本协议书自签署之日起生效，未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7D357320">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6.接受分包的中小企业与总承包单位不存在直接控股、管理关系。</w:t>
      </w:r>
    </w:p>
    <w:p w14:paraId="2E541066">
      <w:pPr>
        <w:pStyle w:val="8"/>
        <w:shd w:val="clear"/>
        <w:rPr>
          <w:color w:val="auto"/>
          <w:highlight w:val="none"/>
          <w:lang w:val="en-US"/>
        </w:rPr>
      </w:pPr>
    </w:p>
    <w:p w14:paraId="28E70F0F">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01D8DDF1">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69891EBC">
      <w:pPr>
        <w:shd w:val="clear"/>
        <w:spacing w:line="360" w:lineRule="auto"/>
        <w:ind w:firstLine="435"/>
        <w:rPr>
          <w:rFonts w:asciiTheme="minorEastAsia" w:hAnsiTheme="minorEastAsia" w:eastAsiaTheme="minorEastAsia"/>
          <w:color w:val="auto"/>
          <w:sz w:val="24"/>
          <w:highlight w:val="none"/>
        </w:rPr>
      </w:pPr>
    </w:p>
    <w:p w14:paraId="4F0A8833">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接受分包企业一：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501E7A0C">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59D6B772">
      <w:pPr>
        <w:shd w:val="clear"/>
        <w:spacing w:line="360" w:lineRule="auto"/>
        <w:ind w:firstLine="435"/>
        <w:rPr>
          <w:rFonts w:asciiTheme="minorEastAsia" w:hAnsiTheme="minorEastAsia" w:eastAsiaTheme="minorEastAsia"/>
          <w:color w:val="auto"/>
          <w:sz w:val="24"/>
          <w:highlight w:val="none"/>
        </w:rPr>
      </w:pPr>
    </w:p>
    <w:p w14:paraId="59D0900C">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接受分包企业二：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509C070E">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0F64EF5E">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341DDE22">
      <w:pPr>
        <w:pStyle w:val="22"/>
        <w:shd w:val="clear"/>
        <w:spacing w:line="360" w:lineRule="auto"/>
        <w:rPr>
          <w:rFonts w:asciiTheme="minorEastAsia" w:hAnsiTheme="minorEastAsia" w:eastAsiaTheme="minorEastAsia"/>
          <w:color w:val="auto"/>
          <w:sz w:val="24"/>
          <w:highlight w:val="none"/>
        </w:rPr>
      </w:pPr>
    </w:p>
    <w:p w14:paraId="76D7FFB5">
      <w:pPr>
        <w:shd w:val="clear"/>
        <w:spacing w:line="360" w:lineRule="auto"/>
        <w:ind w:right="480" w:firstLine="4680" w:firstLineChars="19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176619E3">
      <w:pPr>
        <w:shd w:val="clear"/>
        <w:spacing w:line="360" w:lineRule="auto"/>
        <w:ind w:right="480" w:firstLine="4680" w:firstLineChars="1950"/>
        <w:rPr>
          <w:rFonts w:asciiTheme="minorEastAsia" w:hAnsiTheme="minorEastAsia" w:eastAsiaTheme="minorEastAsia"/>
          <w:color w:val="auto"/>
          <w:sz w:val="24"/>
          <w:highlight w:val="none"/>
        </w:rPr>
      </w:pPr>
    </w:p>
    <w:p w14:paraId="3FE76DBF">
      <w:pPr>
        <w:shd w:val="clear"/>
        <w:spacing w:line="360" w:lineRule="auto"/>
        <w:ind w:right="480" w:firstLine="5460" w:firstLineChars="1950"/>
        <w:rPr>
          <w:rFonts w:asciiTheme="minorEastAsia" w:hAnsiTheme="minorEastAsia" w:eastAsiaTheme="minorEastAsia"/>
          <w:color w:val="auto"/>
          <w:sz w:val="28"/>
          <w:highlight w:val="none"/>
        </w:rPr>
      </w:pPr>
    </w:p>
    <w:p w14:paraId="5A79377D">
      <w:pPr>
        <w:shd w:val="clear"/>
        <w:adjustRightInd w:val="0"/>
        <w:snapToGrid w:val="0"/>
        <w:spacing w:line="360" w:lineRule="auto"/>
        <w:rPr>
          <w:rFonts w:asciiTheme="minorEastAsia" w:hAnsiTheme="minorEastAsia" w:eastAsiaTheme="minorEastAsia"/>
          <w:b/>
          <w:bCs/>
          <w:color w:val="auto"/>
          <w:sz w:val="24"/>
          <w:szCs w:val="28"/>
          <w:highlight w:val="none"/>
        </w:rPr>
      </w:pPr>
      <w:r>
        <w:rPr>
          <w:rFonts w:hint="eastAsia" w:asciiTheme="minorEastAsia" w:hAnsiTheme="minorEastAsia" w:eastAsiaTheme="minorEastAsia"/>
          <w:b/>
          <w:bCs/>
          <w:color w:val="auto"/>
          <w:sz w:val="24"/>
          <w:szCs w:val="28"/>
          <w:highlight w:val="none"/>
        </w:rPr>
        <w:t>注：</w:t>
      </w:r>
    </w:p>
    <w:p w14:paraId="73A4C08B">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1.分包意向协议中须约定向中小企业分包的项目内容及分包内容占合同金额比例。</w:t>
      </w:r>
    </w:p>
    <w:p w14:paraId="42EC294D">
      <w:pPr>
        <w:shd w:val="clea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2.考虑上述</w:t>
      </w:r>
      <w:r>
        <w:rPr>
          <w:rFonts w:hint="eastAsia" w:asciiTheme="minorEastAsia" w:hAnsiTheme="minorEastAsia" w:eastAsiaTheme="minorEastAsia"/>
          <w:color w:val="auto"/>
          <w:sz w:val="24"/>
          <w:highlight w:val="none"/>
        </w:rPr>
        <w:t>负责内容合同金额的</w:t>
      </w:r>
      <w:r>
        <w:rPr>
          <w:rFonts w:hint="eastAsia" w:ascii="宋体" w:hAnsi="宋体" w:eastAsia="宋体"/>
          <w:color w:val="auto"/>
          <w:sz w:val="24"/>
          <w:highlight w:val="none"/>
        </w:rPr>
        <w:t>方便，供应商在填写最后承诺报价后，（第一次报价-最后承诺报价）除以第一次报价后得出的优惠率视同为上述</w:t>
      </w:r>
      <w:r>
        <w:rPr>
          <w:rFonts w:hint="eastAsia" w:asciiTheme="minorEastAsia" w:hAnsiTheme="minorEastAsia" w:eastAsiaTheme="minorEastAsia"/>
          <w:color w:val="auto"/>
          <w:sz w:val="24"/>
          <w:highlight w:val="none"/>
        </w:rPr>
        <w:t>负责内容合同金额</w:t>
      </w:r>
      <w:r>
        <w:rPr>
          <w:rFonts w:hint="eastAsia" w:ascii="宋体" w:hAnsi="宋体" w:eastAsia="宋体"/>
          <w:color w:val="auto"/>
          <w:sz w:val="24"/>
          <w:highlight w:val="none"/>
        </w:rPr>
        <w:t>的优惠浮动值（特定分项优惠除外），而不考虑措施项目清单和规费税金清单的金额改变</w:t>
      </w:r>
      <w:r>
        <w:rPr>
          <w:rFonts w:hint="eastAsia" w:ascii="宋体" w:hAnsi="宋体" w:eastAsia="宋体"/>
          <w:bCs/>
          <w:color w:val="auto"/>
          <w:sz w:val="24"/>
          <w:highlight w:val="none"/>
        </w:rPr>
        <w:t>。</w:t>
      </w:r>
    </w:p>
    <w:p w14:paraId="2A500A7A">
      <w:pPr>
        <w:widowControl/>
        <w:shd w:val="clear"/>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bookmarkEnd w:id="74"/>
    <w:p w14:paraId="2E3E31D7">
      <w:pPr>
        <w:widowControl/>
        <w:shd w:val="clear"/>
        <w:jc w:val="left"/>
        <w:rPr>
          <w:rFonts w:asciiTheme="minorEastAsia" w:hAnsiTheme="minorEastAsia" w:eastAsiaTheme="minorEastAsia"/>
          <w:color w:val="auto"/>
          <w:sz w:val="24"/>
          <w:highlight w:val="none"/>
        </w:rPr>
      </w:pPr>
    </w:p>
    <w:p w14:paraId="49763B9C">
      <w:pPr>
        <w:shd w:val="clear"/>
        <w:spacing w:line="360" w:lineRule="auto"/>
        <w:jc w:val="center"/>
        <w:outlineLvl w:val="1"/>
        <w:rPr>
          <w:rFonts w:asciiTheme="minorEastAsia" w:hAnsiTheme="minorEastAsia" w:eastAsiaTheme="minorEastAsia"/>
          <w:b/>
          <w:color w:val="auto"/>
          <w:sz w:val="24"/>
          <w:highlight w:val="none"/>
        </w:rPr>
      </w:pPr>
      <w:bookmarkStart w:id="75" w:name="_Toc17888"/>
      <w:bookmarkStart w:id="76" w:name="_Toc6445"/>
      <w:bookmarkStart w:id="77" w:name="_Hlk60608597"/>
      <w:r>
        <w:rPr>
          <w:rFonts w:hint="eastAsia" w:asciiTheme="minorEastAsia" w:hAnsiTheme="minorEastAsia" w:eastAsiaTheme="minorEastAsia"/>
          <w:b/>
          <w:color w:val="auto"/>
          <w:sz w:val="24"/>
          <w:highlight w:val="none"/>
        </w:rPr>
        <w:t>九、中小企业声明函</w:t>
      </w:r>
      <w:bookmarkEnd w:id="75"/>
      <w:bookmarkEnd w:id="76"/>
    </w:p>
    <w:p w14:paraId="48AB1A8C">
      <w:pPr>
        <w:pStyle w:val="8"/>
        <w:shd w:val="clear"/>
        <w:jc w:val="center"/>
        <w:rPr>
          <w:rFonts w:ascii="宋体" w:hAnsi="宋体" w:eastAsia="宋体"/>
          <w:i/>
          <w:color w:val="auto"/>
          <w:sz w:val="24"/>
          <w:highlight w:val="none"/>
          <w:lang w:val="en-US"/>
        </w:rPr>
      </w:pPr>
      <w:r>
        <w:rPr>
          <w:rFonts w:hint="eastAsia" w:ascii="宋体" w:hAnsi="宋体" w:eastAsia="宋体"/>
          <w:i/>
          <w:color w:val="auto"/>
          <w:sz w:val="24"/>
          <w:highlight w:val="none"/>
          <w:lang w:val="en-US"/>
        </w:rPr>
        <w:t>（</w:t>
      </w:r>
      <w:r>
        <w:rPr>
          <w:rFonts w:hint="eastAsia" w:ascii="宋体" w:hAnsi="宋体" w:eastAsia="宋体"/>
          <w:i/>
          <w:color w:val="auto"/>
          <w:sz w:val="24"/>
          <w:highlight w:val="none"/>
        </w:rPr>
        <w:t>非中小企业</w:t>
      </w:r>
      <w:r>
        <w:rPr>
          <w:rFonts w:hint="eastAsia" w:ascii="宋体" w:hAnsi="宋体" w:eastAsia="宋体"/>
          <w:i/>
          <w:color w:val="auto"/>
          <w:sz w:val="24"/>
          <w:highlight w:val="none"/>
          <w:lang w:val="en-US"/>
        </w:rPr>
        <w:t>磋商或本项目不使用的，不需此件，请删去“中小企业声明函”）</w:t>
      </w:r>
    </w:p>
    <w:p w14:paraId="15D611DA">
      <w:pPr>
        <w:shd w:val="clea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40218979">
      <w:pPr>
        <w:shd w:val="clea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6D879FFB">
      <w:pPr>
        <w:shd w:val="clea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2041E438">
      <w:pPr>
        <w:shd w:val="clea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4F6F1A88">
      <w:pPr>
        <w:shd w:val="clea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16AC4BD1">
      <w:pPr>
        <w:shd w:val="clea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18A72C02">
      <w:pPr>
        <w:shd w:val="clear"/>
        <w:spacing w:line="360" w:lineRule="auto"/>
        <w:ind w:firstLine="435"/>
        <w:rPr>
          <w:rFonts w:asciiTheme="minorEastAsia" w:hAnsiTheme="minorEastAsia" w:eastAsiaTheme="minorEastAsia"/>
          <w:color w:val="auto"/>
          <w:sz w:val="24"/>
          <w:szCs w:val="24"/>
          <w:highlight w:val="none"/>
        </w:rPr>
      </w:pPr>
    </w:p>
    <w:p w14:paraId="0B647A7B">
      <w:pPr>
        <w:shd w:val="clear"/>
        <w:spacing w:line="360" w:lineRule="auto"/>
        <w:ind w:firstLine="435"/>
        <w:rPr>
          <w:rFonts w:asciiTheme="minorEastAsia" w:hAnsiTheme="minorEastAsia" w:eastAsiaTheme="minorEastAsia"/>
          <w:color w:val="auto"/>
          <w:sz w:val="24"/>
          <w:szCs w:val="24"/>
          <w:highlight w:val="none"/>
        </w:rPr>
      </w:pPr>
    </w:p>
    <w:p w14:paraId="0838C507">
      <w:pPr>
        <w:shd w:val="clea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供应商公章：</w:t>
      </w:r>
      <w:r>
        <w:rPr>
          <w:rFonts w:asciiTheme="minorEastAsia" w:hAnsiTheme="minorEastAsia" w:eastAsiaTheme="minorEastAsia"/>
          <w:color w:val="auto"/>
          <w:sz w:val="24"/>
          <w:szCs w:val="24"/>
          <w:highlight w:val="none"/>
          <w:u w:val="single"/>
        </w:rPr>
        <w:t xml:space="preserve">             </w:t>
      </w:r>
    </w:p>
    <w:p w14:paraId="7E5DD660">
      <w:pPr>
        <w:shd w:val="clea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1DDA208E">
      <w:pPr>
        <w:shd w:val="clear"/>
        <w:tabs>
          <w:tab w:val="left" w:pos="4620"/>
        </w:tabs>
        <w:spacing w:line="360" w:lineRule="auto"/>
        <w:jc w:val="left"/>
        <w:rPr>
          <w:rFonts w:asciiTheme="minorEastAsia" w:hAnsiTheme="minorEastAsia" w:eastAsiaTheme="minorEastAsia"/>
          <w:color w:val="auto"/>
          <w:sz w:val="24"/>
          <w:szCs w:val="24"/>
          <w:highlight w:val="none"/>
        </w:rPr>
      </w:pPr>
    </w:p>
    <w:p w14:paraId="4AEC415D">
      <w:pPr>
        <w:shd w:val="clear"/>
        <w:tabs>
          <w:tab w:val="left" w:pos="4620"/>
        </w:tabs>
        <w:spacing w:line="360" w:lineRule="auto"/>
        <w:jc w:val="left"/>
        <w:rPr>
          <w:rFonts w:asciiTheme="minorEastAsia" w:hAnsiTheme="minorEastAsia" w:eastAsiaTheme="minorEastAsia"/>
          <w:color w:val="auto"/>
          <w:sz w:val="24"/>
          <w:szCs w:val="24"/>
          <w:highlight w:val="none"/>
        </w:rPr>
      </w:pPr>
    </w:p>
    <w:p w14:paraId="3BF5871A">
      <w:pPr>
        <w:shd w:val="clear"/>
        <w:tabs>
          <w:tab w:val="left" w:pos="4620"/>
        </w:tabs>
        <w:spacing w:line="360" w:lineRule="auto"/>
        <w:jc w:val="left"/>
        <w:rPr>
          <w:rFonts w:asciiTheme="minorEastAsia" w:hAnsiTheme="minorEastAsia" w:eastAsiaTheme="minorEastAsia"/>
          <w:color w:val="auto"/>
          <w:sz w:val="24"/>
          <w:szCs w:val="24"/>
          <w:highlight w:val="none"/>
        </w:rPr>
      </w:pPr>
    </w:p>
    <w:p w14:paraId="3314F517">
      <w:pPr>
        <w:shd w:val="clear"/>
        <w:tabs>
          <w:tab w:val="left" w:pos="4620"/>
        </w:tabs>
        <w:spacing w:line="360" w:lineRule="auto"/>
        <w:jc w:val="left"/>
        <w:rPr>
          <w:rFonts w:asciiTheme="minorEastAsia" w:hAnsiTheme="minorEastAsia" w:eastAsiaTheme="minorEastAsia"/>
          <w:color w:val="auto"/>
          <w:sz w:val="24"/>
          <w:szCs w:val="24"/>
          <w:highlight w:val="none"/>
        </w:rPr>
      </w:pPr>
    </w:p>
    <w:bookmarkEnd w:id="77"/>
    <w:p w14:paraId="421891C3">
      <w:pPr>
        <w:shd w:val="clea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注：</w:t>
      </w:r>
    </w:p>
    <w:p w14:paraId="529A0BEE">
      <w:pPr>
        <w:shd w:val="clea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384F9E27">
      <w:pPr>
        <w:shd w:val="clea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供应商自行登录工业和信息化部官网进行中小企业规模类型自测（查询网址https://www.miit.gov.cn/）。</w:t>
      </w:r>
    </w:p>
    <w:p w14:paraId="7DBF122B">
      <w:pPr>
        <w:shd w:val="clea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1B755770">
      <w:pPr>
        <w:shd w:val="clea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67EFE7CC">
      <w:pPr>
        <w:shd w:val="clea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[供应商自行登录工业和信息化部官网进行中小企业规模类型自测（查询网址https://www.miit.gov.cn/）]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47C8A590">
      <w:pPr>
        <w:shd w:val="clear"/>
        <w:tabs>
          <w:tab w:val="left" w:pos="4620"/>
        </w:tabs>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5A027C4">
      <w:pPr>
        <w:shd w:val="clear"/>
        <w:spacing w:line="360" w:lineRule="auto"/>
        <w:jc w:val="center"/>
        <w:outlineLvl w:val="1"/>
        <w:rPr>
          <w:rFonts w:asciiTheme="minorEastAsia" w:hAnsiTheme="minorEastAsia" w:eastAsiaTheme="minorEastAsia"/>
          <w:b/>
          <w:color w:val="auto"/>
          <w:sz w:val="24"/>
          <w:highlight w:val="none"/>
        </w:rPr>
      </w:pPr>
      <w:bookmarkStart w:id="78" w:name="_Toc5908"/>
      <w:bookmarkStart w:id="79" w:name="_Toc17713"/>
      <w:bookmarkStart w:id="80" w:name="_Hlk60608725"/>
      <w:r>
        <w:rPr>
          <w:rFonts w:hint="eastAsia" w:asciiTheme="minorEastAsia" w:hAnsiTheme="minorEastAsia" w:eastAsiaTheme="minorEastAsia"/>
          <w:b/>
          <w:color w:val="auto"/>
          <w:sz w:val="24"/>
          <w:highlight w:val="none"/>
        </w:rPr>
        <w:t>十、残疾人福利性单位声明函</w:t>
      </w:r>
      <w:bookmarkEnd w:id="78"/>
      <w:bookmarkEnd w:id="79"/>
    </w:p>
    <w:p w14:paraId="4905A83B">
      <w:pPr>
        <w:pStyle w:val="8"/>
        <w:shd w:val="clear"/>
        <w:jc w:val="center"/>
        <w:rPr>
          <w:rFonts w:asciiTheme="minorEastAsia" w:hAnsiTheme="minorEastAsia" w:eastAsiaTheme="minorEastAsia"/>
          <w:color w:val="auto"/>
          <w:spacing w:val="6"/>
          <w:sz w:val="24"/>
          <w:highlight w:val="none"/>
        </w:rPr>
      </w:pPr>
      <w:r>
        <w:rPr>
          <w:rFonts w:hint="eastAsia" w:ascii="宋体" w:hAnsi="宋体" w:eastAsia="宋体"/>
          <w:i/>
          <w:color w:val="auto"/>
          <w:sz w:val="24"/>
          <w:highlight w:val="none"/>
          <w:lang w:val="en-US"/>
        </w:rPr>
        <w:t>（非残疾人福利性单位磋商或本项目不使用的，请删去“残疾人福利性单位声明函”）</w:t>
      </w:r>
    </w:p>
    <w:p w14:paraId="71AD995D">
      <w:pPr>
        <w:shd w:val="clea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04EEBA17">
      <w:pPr>
        <w:shd w:val="clea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7511D56D">
      <w:pPr>
        <w:shd w:val="clear"/>
        <w:spacing w:line="360" w:lineRule="auto"/>
        <w:ind w:firstLine="4228" w:firstLineChars="1762"/>
        <w:rPr>
          <w:rFonts w:asciiTheme="minorEastAsia" w:hAnsiTheme="minorEastAsia" w:eastAsiaTheme="minorEastAsia"/>
          <w:color w:val="auto"/>
          <w:sz w:val="24"/>
          <w:szCs w:val="24"/>
          <w:highlight w:val="none"/>
        </w:rPr>
      </w:pPr>
    </w:p>
    <w:p w14:paraId="396AFFD3">
      <w:pPr>
        <w:shd w:val="clear"/>
        <w:spacing w:line="360" w:lineRule="auto"/>
        <w:ind w:firstLine="4228" w:firstLineChars="1762"/>
        <w:rPr>
          <w:rFonts w:asciiTheme="minorEastAsia" w:hAnsiTheme="minorEastAsia" w:eastAsiaTheme="minorEastAsia"/>
          <w:color w:val="auto"/>
          <w:sz w:val="24"/>
          <w:szCs w:val="24"/>
          <w:highlight w:val="none"/>
        </w:rPr>
      </w:pPr>
    </w:p>
    <w:p w14:paraId="29FC3FA0">
      <w:pPr>
        <w:shd w:val="clea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供应商公章：</w:t>
      </w:r>
      <w:r>
        <w:rPr>
          <w:rFonts w:asciiTheme="minorEastAsia" w:hAnsiTheme="minorEastAsia" w:eastAsiaTheme="minorEastAsia"/>
          <w:color w:val="auto"/>
          <w:sz w:val="24"/>
          <w:szCs w:val="24"/>
          <w:highlight w:val="none"/>
          <w:u w:val="single"/>
        </w:rPr>
        <w:t xml:space="preserve">             </w:t>
      </w:r>
    </w:p>
    <w:p w14:paraId="779BA217">
      <w:pPr>
        <w:shd w:val="clea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bookmarkEnd w:id="80"/>
    <w:p w14:paraId="06F9F244">
      <w:pPr>
        <w:widowControl/>
        <w:shd w:val="clear"/>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D93A98E">
      <w:pPr>
        <w:shd w:val="clear"/>
        <w:spacing w:line="360" w:lineRule="auto"/>
        <w:jc w:val="center"/>
        <w:outlineLvl w:val="1"/>
        <w:rPr>
          <w:rFonts w:asciiTheme="minorEastAsia" w:hAnsiTheme="minorEastAsia" w:eastAsiaTheme="minorEastAsia"/>
          <w:b/>
          <w:color w:val="auto"/>
          <w:sz w:val="24"/>
          <w:highlight w:val="none"/>
        </w:rPr>
      </w:pPr>
      <w:bookmarkStart w:id="81" w:name="_Toc2278"/>
      <w:bookmarkStart w:id="82" w:name="_Toc20592"/>
      <w:bookmarkStart w:id="83" w:name="_Hlk44283088"/>
      <w:r>
        <w:rPr>
          <w:rFonts w:hint="eastAsia" w:asciiTheme="minorEastAsia" w:hAnsiTheme="minorEastAsia" w:eastAsiaTheme="minorEastAsia"/>
          <w:b/>
          <w:color w:val="auto"/>
          <w:sz w:val="24"/>
          <w:highlight w:val="none"/>
        </w:rPr>
        <w:t>十一、诚信履约承诺函</w:t>
      </w:r>
      <w:bookmarkEnd w:id="81"/>
      <w:bookmarkEnd w:id="82"/>
    </w:p>
    <w:p w14:paraId="3A0280BE">
      <w:pPr>
        <w:shd w:val="clear"/>
        <w:spacing w:line="360" w:lineRule="auto"/>
        <w:rPr>
          <w:rFonts w:asciiTheme="minorEastAsia" w:hAnsiTheme="minorEastAsia" w:eastAsiaTheme="minorEastAsia"/>
          <w:b/>
          <w:bCs/>
          <w:color w:val="auto"/>
          <w:sz w:val="24"/>
          <w:highlight w:val="none"/>
        </w:rPr>
      </w:pPr>
    </w:p>
    <w:p w14:paraId="134D8980">
      <w:pPr>
        <w:shd w:val="clea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致：采购人</w:t>
      </w:r>
    </w:p>
    <w:p w14:paraId="6A60472B">
      <w:pPr>
        <w:shd w:val="clea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如我单位被确定为本项目成交供应商，我单位承诺在合同签订及履约过程中将严格执行本项目采购文件中关于合同签订及履约的相关规定，不出现以下情形：</w:t>
      </w:r>
    </w:p>
    <w:p w14:paraId="39133A41">
      <w:pPr>
        <w:shd w:val="clea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（1）中标或者成交后无正当理由拒不与采购人签订采购合同；</w:t>
      </w:r>
    </w:p>
    <w:p w14:paraId="5C97A942">
      <w:pPr>
        <w:shd w:val="clea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（2）未按照采购文件确定的事项签订采购合同；</w:t>
      </w:r>
    </w:p>
    <w:p w14:paraId="42193A64">
      <w:pPr>
        <w:shd w:val="clea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（3）将采购合同转包；</w:t>
      </w:r>
    </w:p>
    <w:p w14:paraId="378757C3">
      <w:pPr>
        <w:shd w:val="clea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5B4B4D4C">
      <w:pPr>
        <w:shd w:val="clea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（5）擅自变更、中止或者终止采购合同。</w:t>
      </w:r>
    </w:p>
    <w:p w14:paraId="0D4A250B">
      <w:pPr>
        <w:shd w:val="clea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采购人单位的采购活动，有违法所得的，并处没收违法所得，情节严重的，由工商行政管理机关吊销营业执照；构成犯罪的，依法追究刑事责任。</w:t>
      </w:r>
    </w:p>
    <w:p w14:paraId="2C2645D9">
      <w:pPr>
        <w:shd w:val="clear"/>
        <w:spacing w:line="360" w:lineRule="auto"/>
        <w:rPr>
          <w:rFonts w:asciiTheme="minorEastAsia" w:hAnsiTheme="minorEastAsia" w:eastAsiaTheme="minorEastAsia"/>
          <w:bCs/>
          <w:color w:val="auto"/>
          <w:sz w:val="24"/>
          <w:highlight w:val="none"/>
        </w:rPr>
      </w:pPr>
    </w:p>
    <w:p w14:paraId="0C8B12BF">
      <w:pPr>
        <w:shd w:val="clear"/>
        <w:spacing w:line="360" w:lineRule="auto"/>
        <w:rPr>
          <w:rFonts w:asciiTheme="minorEastAsia" w:hAnsiTheme="minorEastAsia" w:eastAsiaTheme="minorEastAsia"/>
          <w:bCs/>
          <w:color w:val="auto"/>
          <w:sz w:val="24"/>
          <w:highlight w:val="none"/>
        </w:rPr>
      </w:pPr>
    </w:p>
    <w:p w14:paraId="1537E98F">
      <w:pPr>
        <w:shd w:val="clea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供应商公章：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21773511">
      <w:pPr>
        <w:shd w:val="clea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70166DC2">
      <w:pPr>
        <w:widowControl/>
        <w:shd w:val="clear"/>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83"/>
    <w:p w14:paraId="0D75ABF8">
      <w:pPr>
        <w:shd w:val="clear"/>
        <w:spacing w:line="360" w:lineRule="auto"/>
        <w:jc w:val="center"/>
        <w:outlineLvl w:val="1"/>
        <w:rPr>
          <w:rFonts w:asciiTheme="minorEastAsia" w:hAnsiTheme="minorEastAsia" w:eastAsiaTheme="minorEastAsia"/>
          <w:b/>
          <w:color w:val="auto"/>
          <w:sz w:val="24"/>
          <w:highlight w:val="none"/>
        </w:rPr>
      </w:pPr>
      <w:bookmarkStart w:id="84" w:name="_Toc3826"/>
      <w:bookmarkStart w:id="85" w:name="_Toc7807"/>
      <w:r>
        <w:rPr>
          <w:rFonts w:hint="eastAsia" w:asciiTheme="minorEastAsia" w:hAnsiTheme="minorEastAsia" w:eastAsiaTheme="minorEastAsia"/>
          <w:b/>
          <w:color w:val="auto"/>
          <w:sz w:val="24"/>
          <w:highlight w:val="none"/>
        </w:rPr>
        <w:t>十二、其他相关证明材料</w:t>
      </w:r>
      <w:bookmarkEnd w:id="84"/>
      <w:bookmarkEnd w:id="85"/>
    </w:p>
    <w:p w14:paraId="6602C0E0">
      <w:pPr>
        <w:shd w:val="clear"/>
        <w:tabs>
          <w:tab w:val="left" w:pos="4620"/>
        </w:tabs>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提供符合竞争性磋商公告、采购需求及评审方法和标准规定的相关证明文件。</w:t>
      </w:r>
    </w:p>
    <w:p w14:paraId="0594CF82">
      <w:pPr>
        <w:shd w:val="clear"/>
        <w:spacing w:line="360" w:lineRule="auto"/>
        <w:ind w:firstLine="435"/>
        <w:rPr>
          <w:rFonts w:asciiTheme="minorEastAsia" w:hAnsiTheme="minorEastAsia" w:eastAsiaTheme="minorEastAsia"/>
          <w:color w:val="auto"/>
          <w:sz w:val="24"/>
          <w:highlight w:val="none"/>
        </w:rPr>
      </w:pPr>
    </w:p>
    <w:p w14:paraId="148DE9AD">
      <w:pPr>
        <w:shd w:val="clear"/>
        <w:spacing w:line="360" w:lineRule="auto"/>
        <w:ind w:firstLine="480" w:firstLineChars="200"/>
        <w:rPr>
          <w:rFonts w:asciiTheme="minorEastAsia" w:hAnsiTheme="minorEastAsia" w:eastAsiaTheme="minorEastAsia"/>
          <w:color w:val="auto"/>
          <w:sz w:val="24"/>
          <w:highlight w:val="none"/>
        </w:rPr>
      </w:pPr>
    </w:p>
    <w:p w14:paraId="1C732A71">
      <w:pPr>
        <w:shd w:val="clea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37273488">
      <w:pPr>
        <w:shd w:val="clea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供应商在响应文件制作时可在此栏内上传磋商文件要求上传的证明资料，如营业执照、证书、人员证明资料等，应将上述证明材料制作成扫描件上传。</w:t>
      </w:r>
    </w:p>
    <w:p w14:paraId="18497BAA">
      <w:pPr>
        <w:shd w:val="clear"/>
        <w:spacing w:line="360" w:lineRule="auto"/>
        <w:jc w:val="center"/>
        <w:rPr>
          <w:rFonts w:asciiTheme="minorEastAsia" w:hAnsiTheme="minorEastAsia" w:eastAsiaTheme="minorEastAsia"/>
          <w:b/>
          <w:color w:val="auto"/>
          <w:sz w:val="24"/>
          <w:highlight w:val="none"/>
        </w:rPr>
      </w:pPr>
    </w:p>
    <w:p w14:paraId="5114C4F6">
      <w:pPr>
        <w:widowControl/>
        <w:shd w:val="clear"/>
        <w:jc w:val="left"/>
        <w:rPr>
          <w:rFonts w:ascii="宋体" w:hAnsi="宋体" w:eastAsia="宋体"/>
          <w:bCs/>
          <w:color w:val="auto"/>
          <w:sz w:val="24"/>
          <w:highlight w:val="none"/>
        </w:rPr>
      </w:pPr>
      <w:r>
        <w:rPr>
          <w:rFonts w:asciiTheme="minorEastAsia" w:hAnsiTheme="minorEastAsia" w:eastAsiaTheme="minorEastAsia"/>
          <w:color w:val="auto"/>
          <w:sz w:val="24"/>
          <w:highlight w:val="none"/>
        </w:rPr>
        <w:br w:type="page"/>
      </w:r>
    </w:p>
    <w:p w14:paraId="6A0C684A">
      <w:pPr>
        <w:shd w:val="clear"/>
        <w:spacing w:line="360" w:lineRule="auto"/>
        <w:jc w:val="center"/>
        <w:outlineLvl w:val="0"/>
        <w:rPr>
          <w:rFonts w:ascii="宋体" w:hAnsi="宋体" w:eastAsia="宋体"/>
          <w:b/>
          <w:bCs/>
          <w:color w:val="auto"/>
          <w:sz w:val="28"/>
          <w:highlight w:val="none"/>
        </w:rPr>
      </w:pPr>
      <w:bookmarkStart w:id="86" w:name="_Toc63440924"/>
      <w:bookmarkStart w:id="87" w:name="_Toc19418"/>
      <w:r>
        <w:rPr>
          <w:rFonts w:hint="eastAsia" w:ascii="宋体" w:hAnsi="宋体" w:eastAsia="宋体"/>
          <w:b/>
          <w:bCs/>
          <w:color w:val="auto"/>
          <w:sz w:val="28"/>
          <w:highlight w:val="none"/>
        </w:rPr>
        <w:t>第七章  政府采购</w:t>
      </w:r>
      <w:bookmarkEnd w:id="86"/>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87"/>
    </w:p>
    <w:p w14:paraId="1FB55CE9">
      <w:pPr>
        <w:shd w:val="clear"/>
        <w:spacing w:line="360" w:lineRule="auto"/>
        <w:jc w:val="center"/>
        <w:outlineLvl w:val="1"/>
        <w:rPr>
          <w:rFonts w:ascii="仿宋" w:hAnsi="仿宋" w:eastAsia="仿宋" w:cs="仿宋"/>
          <w:b/>
          <w:bCs/>
          <w:color w:val="auto"/>
          <w:sz w:val="32"/>
          <w:szCs w:val="44"/>
          <w:highlight w:val="none"/>
        </w:rPr>
      </w:pPr>
      <w:bookmarkStart w:id="88" w:name="_Toc8735"/>
      <w:bookmarkStart w:id="89" w:name="_Toc2142"/>
      <w:r>
        <w:rPr>
          <w:rFonts w:hint="eastAsia" w:ascii="仿宋" w:hAnsi="仿宋" w:eastAsia="仿宋" w:cs="仿宋"/>
          <w:b/>
          <w:bCs/>
          <w:color w:val="auto"/>
          <w:sz w:val="32"/>
          <w:szCs w:val="44"/>
          <w:highlight w:val="none"/>
        </w:rPr>
        <w:t>询问函范本</w:t>
      </w:r>
      <w:bookmarkEnd w:id="88"/>
      <w:bookmarkEnd w:id="89"/>
    </w:p>
    <w:p w14:paraId="531F8450">
      <w:pPr>
        <w:shd w:val="clea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（如为对采购文件或采购程序的询问或疑问，请按询问函范本格式附件进行提交）</w:t>
      </w:r>
    </w:p>
    <w:p w14:paraId="202A6FEF">
      <w:pPr>
        <w:shd w:val="clear"/>
        <w:adjustRightInd w:val="0"/>
        <w:snapToGrid w:val="0"/>
        <w:spacing w:line="360" w:lineRule="auto"/>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致：采购人</w:t>
      </w:r>
    </w:p>
    <w:p w14:paraId="127D5A1D">
      <w:pPr>
        <w:shd w:val="clea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i/>
          <w:iCs/>
          <w:color w:val="auto"/>
          <w:sz w:val="24"/>
          <w:szCs w:val="24"/>
          <w:highlight w:val="none"/>
        </w:rPr>
        <w:t>（项目名称、编号)</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471E04C3">
      <w:pPr>
        <w:shd w:val="clea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90" w:name="_Toc26386"/>
      <w:bookmarkStart w:id="91" w:name="_Toc9092"/>
      <w:r>
        <w:rPr>
          <w:rFonts w:hint="eastAsia" w:cs="仿宋" w:asciiTheme="minorEastAsia" w:hAnsiTheme="minorEastAsia" w:eastAsiaTheme="minorEastAsia"/>
          <w:color w:val="auto"/>
          <w:sz w:val="24"/>
          <w:szCs w:val="24"/>
          <w:highlight w:val="none"/>
        </w:rPr>
        <w:t>一、(事项一)</w:t>
      </w:r>
      <w:bookmarkEnd w:id="90"/>
      <w:bookmarkEnd w:id="91"/>
    </w:p>
    <w:p w14:paraId="324EA589">
      <w:pPr>
        <w:shd w:val="clea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64FC1F82">
      <w:pPr>
        <w:shd w:val="clea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7F73B69D">
      <w:pPr>
        <w:shd w:val="clea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4F79F850">
      <w:pPr>
        <w:shd w:val="clea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92" w:name="_Toc9273"/>
      <w:bookmarkStart w:id="93" w:name="_Toc17582"/>
      <w:r>
        <w:rPr>
          <w:rFonts w:hint="eastAsia" w:cs="仿宋" w:asciiTheme="minorEastAsia" w:hAnsiTheme="minorEastAsia" w:eastAsiaTheme="minorEastAsia"/>
          <w:color w:val="auto"/>
          <w:sz w:val="24"/>
          <w:szCs w:val="24"/>
          <w:highlight w:val="none"/>
        </w:rPr>
        <w:t>二、(事项二)</w:t>
      </w:r>
      <w:bookmarkEnd w:id="92"/>
      <w:bookmarkEnd w:id="93"/>
    </w:p>
    <w:p w14:paraId="493B5C85">
      <w:pPr>
        <w:shd w:val="clea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666940B5">
      <w:pPr>
        <w:shd w:val="clea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27FDF627">
      <w:pPr>
        <w:shd w:val="clea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4F06E622">
      <w:pPr>
        <w:shd w:val="clea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197F3DC6">
      <w:pPr>
        <w:shd w:val="clea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20B7DEB4">
      <w:pPr>
        <w:shd w:val="clea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3333D47B">
      <w:pPr>
        <w:shd w:val="clear"/>
        <w:jc w:val="center"/>
        <w:outlineLvl w:val="1"/>
        <w:rPr>
          <w:rFonts w:ascii="仿宋" w:hAnsi="仿宋" w:eastAsia="仿宋" w:cs="仿宋"/>
          <w:b/>
          <w:bCs/>
          <w:color w:val="auto"/>
          <w:sz w:val="32"/>
          <w:szCs w:val="44"/>
          <w:highlight w:val="none"/>
        </w:rPr>
      </w:pPr>
      <w:bookmarkStart w:id="94" w:name="_Toc26673"/>
      <w:bookmarkStart w:id="95" w:name="_Toc6990"/>
      <w:r>
        <w:rPr>
          <w:rFonts w:hint="eastAsia" w:ascii="仿宋" w:hAnsi="仿宋" w:eastAsia="仿宋" w:cs="仿宋"/>
          <w:b/>
          <w:bCs/>
          <w:color w:val="auto"/>
          <w:sz w:val="32"/>
          <w:szCs w:val="44"/>
          <w:highlight w:val="none"/>
        </w:rPr>
        <w:t>质疑函范本</w:t>
      </w:r>
      <w:bookmarkEnd w:id="94"/>
      <w:bookmarkEnd w:id="95"/>
    </w:p>
    <w:p w14:paraId="479B8A0A">
      <w:pPr>
        <w:shd w:val="clea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96" w:name="_Toc29510"/>
      <w:bookmarkStart w:id="97" w:name="_Toc2994"/>
      <w:r>
        <w:rPr>
          <w:rFonts w:hint="eastAsia" w:cs="仿宋" w:asciiTheme="minorEastAsia" w:hAnsiTheme="minorEastAsia" w:eastAsiaTheme="minorEastAsia"/>
          <w:b/>
          <w:bCs/>
          <w:color w:val="auto"/>
          <w:sz w:val="24"/>
          <w:szCs w:val="24"/>
          <w:highlight w:val="none"/>
        </w:rPr>
        <w:t>一、质疑供应商基本信息</w:t>
      </w:r>
      <w:bookmarkEnd w:id="96"/>
      <w:bookmarkEnd w:id="97"/>
    </w:p>
    <w:p w14:paraId="397C397F">
      <w:pPr>
        <w:shd w:val="clea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1ADA3CD6">
      <w:pPr>
        <w:shd w:val="clea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6825A03C">
      <w:pPr>
        <w:shd w:val="clea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3E7B4866">
      <w:pPr>
        <w:shd w:val="clea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683651DB">
      <w:pPr>
        <w:shd w:val="clea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19DA0E8B">
      <w:pPr>
        <w:shd w:val="clea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3FEDBBA1">
      <w:pPr>
        <w:shd w:val="clea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98" w:name="_Toc28130"/>
      <w:bookmarkStart w:id="99" w:name="_Toc31042"/>
      <w:r>
        <w:rPr>
          <w:rFonts w:hint="eastAsia" w:cs="仿宋" w:asciiTheme="minorEastAsia" w:hAnsiTheme="minorEastAsia" w:eastAsiaTheme="minorEastAsia"/>
          <w:b/>
          <w:bCs/>
          <w:color w:val="auto"/>
          <w:sz w:val="24"/>
          <w:szCs w:val="24"/>
          <w:highlight w:val="none"/>
        </w:rPr>
        <w:t>二、质疑项目基本情况</w:t>
      </w:r>
      <w:bookmarkEnd w:id="98"/>
      <w:bookmarkEnd w:id="99"/>
    </w:p>
    <w:p w14:paraId="20547A92">
      <w:pPr>
        <w:shd w:val="clea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302A173F">
      <w:pPr>
        <w:shd w:val="clea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142BC682">
      <w:pPr>
        <w:shd w:val="clea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0485A9B7">
      <w:pPr>
        <w:shd w:val="clea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458E02AC">
      <w:pPr>
        <w:shd w:val="clea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00" w:name="_Toc6486"/>
      <w:bookmarkStart w:id="101" w:name="_Toc20587"/>
      <w:r>
        <w:rPr>
          <w:rFonts w:hint="eastAsia" w:cs="仿宋" w:asciiTheme="minorEastAsia" w:hAnsiTheme="minorEastAsia" w:eastAsiaTheme="minorEastAsia"/>
          <w:b/>
          <w:bCs/>
          <w:color w:val="auto"/>
          <w:sz w:val="24"/>
          <w:szCs w:val="24"/>
          <w:highlight w:val="none"/>
        </w:rPr>
        <w:t>三、质疑事项具体内容</w:t>
      </w:r>
      <w:bookmarkEnd w:id="100"/>
      <w:bookmarkEnd w:id="101"/>
    </w:p>
    <w:p w14:paraId="18E80608">
      <w:pPr>
        <w:shd w:val="clea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75F023D9">
      <w:pPr>
        <w:shd w:val="clea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1F8E3C0E">
      <w:pPr>
        <w:shd w:val="clea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543F7FC9">
      <w:pPr>
        <w:shd w:val="clea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6A2C1EBA">
      <w:pPr>
        <w:shd w:val="clea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4D265583">
      <w:pPr>
        <w:shd w:val="clea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43F0E5B5">
      <w:pPr>
        <w:shd w:val="clea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7497BF0B">
      <w:pPr>
        <w:shd w:val="clea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02" w:name="_Toc32755"/>
      <w:bookmarkStart w:id="103" w:name="_Toc20470"/>
      <w:r>
        <w:rPr>
          <w:rFonts w:hint="eastAsia" w:cs="仿宋" w:asciiTheme="minorEastAsia" w:hAnsiTheme="minorEastAsia" w:eastAsiaTheme="minorEastAsia"/>
          <w:b/>
          <w:bCs/>
          <w:color w:val="auto"/>
          <w:sz w:val="24"/>
          <w:szCs w:val="24"/>
          <w:highlight w:val="none"/>
        </w:rPr>
        <w:t>四、与质疑事项相关的质疑请求</w:t>
      </w:r>
      <w:bookmarkEnd w:id="102"/>
      <w:bookmarkEnd w:id="103"/>
    </w:p>
    <w:p w14:paraId="602569EA">
      <w:pPr>
        <w:shd w:val="clea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36629288">
      <w:pPr>
        <w:shd w:val="clea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260E3C7E">
      <w:pPr>
        <w:shd w:val="clea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4827915D">
      <w:pPr>
        <w:widowControl/>
        <w:shd w:val="clear"/>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5D35B3F6">
      <w:pPr>
        <w:shd w:val="clear"/>
        <w:outlineLvl w:val="0"/>
        <w:rPr>
          <w:rFonts w:asciiTheme="minorEastAsia" w:hAnsiTheme="minorEastAsia" w:eastAsiaTheme="minorEastAsia"/>
          <w:b/>
          <w:color w:val="auto"/>
          <w:sz w:val="28"/>
          <w:szCs w:val="32"/>
          <w:highlight w:val="none"/>
        </w:rPr>
      </w:pPr>
      <w:bookmarkStart w:id="104" w:name="_Toc21667"/>
      <w:bookmarkStart w:id="105" w:name="_Toc8368"/>
      <w:r>
        <w:rPr>
          <w:rFonts w:hint="eastAsia" w:asciiTheme="minorEastAsia" w:hAnsiTheme="minorEastAsia" w:eastAsiaTheme="minorEastAsia"/>
          <w:b/>
          <w:color w:val="auto"/>
          <w:sz w:val="28"/>
          <w:szCs w:val="32"/>
          <w:highlight w:val="none"/>
        </w:rPr>
        <w:t>质疑函制作说明：</w:t>
      </w:r>
      <w:bookmarkEnd w:id="104"/>
      <w:bookmarkEnd w:id="105"/>
    </w:p>
    <w:p w14:paraId="6D85C718">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26DC40E2">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31455E0">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5F19EC30">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700F15CF">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6E0A7E8">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F8D7E">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89D27">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E4F0D">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D46490">
                          <w:pPr>
                            <w:pStyle w:val="16"/>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BD46490">
                    <w:pPr>
                      <w:pStyle w:val="1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9D77A">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F266D">
                          <w:pPr>
                            <w:pStyle w:val="16"/>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61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12F266D">
                    <w:pPr>
                      <w:pStyle w:val="16"/>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61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E0BF7">
    <w:pPr>
      <w:pStyle w:val="16"/>
      <w:rPr>
        <w:rFonts w:asciiTheme="minorEastAsia" w:hAnsiTheme="minorEastAsia"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posOffset>2157730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1C7E7">
                          <w:pPr>
                            <w:pStyle w:val="16"/>
                            <w:rPr>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59</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61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69.9pt;margin-top:0pt;height:144pt;width:144pt;mso-position-horizontal-relative:margin;mso-wrap-style:none;z-index:251660288;mso-width-relative:page;mso-height-relative:page;" filled="f" stroked="f" coordsize="21600,21600" o:gfxdata="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aHXLAsb&#10;/WB5hI7iebvcBwiYdI2i9EqctUK3pcqcJyO285/7FPX4N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cAboDVAAAACAEAAA8AAAAAAAAAAQAgAAAAIgAAAGRycy9kb3ducmV2LnhtbFBLAQIUABQA&#10;AAAIAIdO4kAXDIm4LAIAAFUEAAAOAAAAAAAAAAEAIAAAACQBAABkcnMvZTJvRG9jLnhtbFBLBQYA&#10;AAAABgAGAFkBAADCBQAAAAA=&#10;">
              <v:fill on="f" focussize="0,0"/>
              <v:stroke on="f" weight="0.5pt"/>
              <v:imagedata o:title=""/>
              <o:lock v:ext="edit" aspectratio="f"/>
              <v:textbox inset="0mm,0mm,0mm,0mm" style="mso-fit-shape-to-text:t;">
                <w:txbxContent>
                  <w:p w14:paraId="6D01C7E7">
                    <w:pPr>
                      <w:pStyle w:val="16"/>
                      <w:rPr>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59</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61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FBB3B">
    <w:pPr>
      <w:pStyle w:val="1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056FF">
    <w:pPr>
      <w:pStyle w:val="17"/>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334D4">
    <w:pPr>
      <w:pStyle w:val="17"/>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6ECF9">
    <w:pPr>
      <w:pStyle w:val="1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A7E85"/>
    <w:multiLevelType w:val="singleLevel"/>
    <w:tmpl w:val="C3CA7E85"/>
    <w:lvl w:ilvl="0" w:tentative="0">
      <w:start w:val="1"/>
      <w:numFmt w:val="decimal"/>
      <w:suff w:val="nothing"/>
      <w:lvlText w:val="%1、"/>
      <w:lvlJc w:val="left"/>
    </w:lvl>
  </w:abstractNum>
  <w:abstractNum w:abstractNumId="1">
    <w:nsid w:val="E3CC900F"/>
    <w:multiLevelType w:val="singleLevel"/>
    <w:tmpl w:val="E3CC900F"/>
    <w:lvl w:ilvl="0" w:tentative="0">
      <w:start w:val="1"/>
      <w:numFmt w:val="decimal"/>
      <w:suff w:val="nothing"/>
      <w:lvlText w:val="%1、"/>
      <w:lvlJc w:val="left"/>
    </w:lvl>
  </w:abstractNum>
  <w:abstractNum w:abstractNumId="2">
    <w:nsid w:val="5E5AB861"/>
    <w:multiLevelType w:val="singleLevel"/>
    <w:tmpl w:val="5E5AB861"/>
    <w:lvl w:ilvl="0" w:tentative="0">
      <w:start w:val="1"/>
      <w:numFmt w:val="decimal"/>
      <w:suff w:val="nothing"/>
      <w:lvlText w:val="%1、"/>
      <w:lvlJc w:val="left"/>
    </w:lvl>
  </w:abstractNum>
  <w:abstractNum w:abstractNumId="3">
    <w:nsid w:val="7A326B00"/>
    <w:multiLevelType w:val="singleLevel"/>
    <w:tmpl w:val="7A326B00"/>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lZTc2Yzk1NjA2NjBkYTBjYzIzMTU4ZjY3YzIzYTEifQ=="/>
  </w:docVars>
  <w:rsids>
    <w:rsidRoot w:val="00276BA1"/>
    <w:rsid w:val="0000043F"/>
    <w:rsid w:val="000037F9"/>
    <w:rsid w:val="000049DA"/>
    <w:rsid w:val="00005403"/>
    <w:rsid w:val="000056B7"/>
    <w:rsid w:val="00007D87"/>
    <w:rsid w:val="000131F7"/>
    <w:rsid w:val="00014039"/>
    <w:rsid w:val="00016B6C"/>
    <w:rsid w:val="00020B57"/>
    <w:rsid w:val="00020B6D"/>
    <w:rsid w:val="000323E2"/>
    <w:rsid w:val="00040C25"/>
    <w:rsid w:val="00042139"/>
    <w:rsid w:val="00042B14"/>
    <w:rsid w:val="00044F49"/>
    <w:rsid w:val="000450C3"/>
    <w:rsid w:val="00050A3F"/>
    <w:rsid w:val="00052F95"/>
    <w:rsid w:val="00054AA3"/>
    <w:rsid w:val="00056ECB"/>
    <w:rsid w:val="00057B40"/>
    <w:rsid w:val="000648D2"/>
    <w:rsid w:val="00070E0E"/>
    <w:rsid w:val="0007146E"/>
    <w:rsid w:val="00076DB7"/>
    <w:rsid w:val="00080FEB"/>
    <w:rsid w:val="00094D41"/>
    <w:rsid w:val="00097CB9"/>
    <w:rsid w:val="000A0161"/>
    <w:rsid w:val="000A10A9"/>
    <w:rsid w:val="000A6693"/>
    <w:rsid w:val="000A7970"/>
    <w:rsid w:val="000A7D94"/>
    <w:rsid w:val="000B1511"/>
    <w:rsid w:val="000B6249"/>
    <w:rsid w:val="000C1DB1"/>
    <w:rsid w:val="000C33AC"/>
    <w:rsid w:val="000D19EC"/>
    <w:rsid w:val="000D3F37"/>
    <w:rsid w:val="000E3C74"/>
    <w:rsid w:val="000E3F9B"/>
    <w:rsid w:val="000E478E"/>
    <w:rsid w:val="000E668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30601"/>
    <w:rsid w:val="00132F4D"/>
    <w:rsid w:val="00133EA0"/>
    <w:rsid w:val="00137249"/>
    <w:rsid w:val="00140687"/>
    <w:rsid w:val="00146421"/>
    <w:rsid w:val="00153B20"/>
    <w:rsid w:val="00155F64"/>
    <w:rsid w:val="00157856"/>
    <w:rsid w:val="00160729"/>
    <w:rsid w:val="0016455F"/>
    <w:rsid w:val="00165398"/>
    <w:rsid w:val="00166794"/>
    <w:rsid w:val="00166ED8"/>
    <w:rsid w:val="001714C9"/>
    <w:rsid w:val="00171515"/>
    <w:rsid w:val="00172B93"/>
    <w:rsid w:val="001768BC"/>
    <w:rsid w:val="0018119B"/>
    <w:rsid w:val="001844AB"/>
    <w:rsid w:val="001853C7"/>
    <w:rsid w:val="00192879"/>
    <w:rsid w:val="001944B8"/>
    <w:rsid w:val="001967D2"/>
    <w:rsid w:val="00196DA3"/>
    <w:rsid w:val="001970C3"/>
    <w:rsid w:val="001971E5"/>
    <w:rsid w:val="001A0C0F"/>
    <w:rsid w:val="001A68E5"/>
    <w:rsid w:val="001B2A54"/>
    <w:rsid w:val="001B2BA4"/>
    <w:rsid w:val="001B5014"/>
    <w:rsid w:val="001B7327"/>
    <w:rsid w:val="001C2A15"/>
    <w:rsid w:val="001D22EA"/>
    <w:rsid w:val="001D53B4"/>
    <w:rsid w:val="001E1835"/>
    <w:rsid w:val="001F28D2"/>
    <w:rsid w:val="001F2F45"/>
    <w:rsid w:val="001F3023"/>
    <w:rsid w:val="001F35F6"/>
    <w:rsid w:val="001F4AAF"/>
    <w:rsid w:val="001F74CA"/>
    <w:rsid w:val="001F7590"/>
    <w:rsid w:val="002003B6"/>
    <w:rsid w:val="0020244A"/>
    <w:rsid w:val="002049B4"/>
    <w:rsid w:val="0020520B"/>
    <w:rsid w:val="002076AD"/>
    <w:rsid w:val="00213C55"/>
    <w:rsid w:val="00223CF4"/>
    <w:rsid w:val="00224B69"/>
    <w:rsid w:val="00224C4A"/>
    <w:rsid w:val="00231187"/>
    <w:rsid w:val="0023407E"/>
    <w:rsid w:val="00240B40"/>
    <w:rsid w:val="00244182"/>
    <w:rsid w:val="002544A1"/>
    <w:rsid w:val="00257ECE"/>
    <w:rsid w:val="00260382"/>
    <w:rsid w:val="00260B94"/>
    <w:rsid w:val="00264F2E"/>
    <w:rsid w:val="00271245"/>
    <w:rsid w:val="00272BD6"/>
    <w:rsid w:val="00273F66"/>
    <w:rsid w:val="00274A9E"/>
    <w:rsid w:val="00276BA1"/>
    <w:rsid w:val="00280984"/>
    <w:rsid w:val="002832CF"/>
    <w:rsid w:val="00283599"/>
    <w:rsid w:val="002835E3"/>
    <w:rsid w:val="00284542"/>
    <w:rsid w:val="002A14D1"/>
    <w:rsid w:val="002A1A1D"/>
    <w:rsid w:val="002A28AD"/>
    <w:rsid w:val="002B04FD"/>
    <w:rsid w:val="002B5318"/>
    <w:rsid w:val="002B6D27"/>
    <w:rsid w:val="002B7A09"/>
    <w:rsid w:val="002C060C"/>
    <w:rsid w:val="002C078A"/>
    <w:rsid w:val="002D05DD"/>
    <w:rsid w:val="002D0E4D"/>
    <w:rsid w:val="002D2965"/>
    <w:rsid w:val="002D3D02"/>
    <w:rsid w:val="002D4CB5"/>
    <w:rsid w:val="002D5900"/>
    <w:rsid w:val="002D684B"/>
    <w:rsid w:val="002E2D3A"/>
    <w:rsid w:val="002E3B26"/>
    <w:rsid w:val="002E4AB8"/>
    <w:rsid w:val="002E7FC4"/>
    <w:rsid w:val="00310070"/>
    <w:rsid w:val="0031081B"/>
    <w:rsid w:val="003110EC"/>
    <w:rsid w:val="00314289"/>
    <w:rsid w:val="003206A6"/>
    <w:rsid w:val="0032560D"/>
    <w:rsid w:val="00327C92"/>
    <w:rsid w:val="00333292"/>
    <w:rsid w:val="003344E7"/>
    <w:rsid w:val="0033580B"/>
    <w:rsid w:val="003365E7"/>
    <w:rsid w:val="003378D5"/>
    <w:rsid w:val="003473D7"/>
    <w:rsid w:val="00351995"/>
    <w:rsid w:val="00351AC8"/>
    <w:rsid w:val="00353075"/>
    <w:rsid w:val="00363E02"/>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B25A5"/>
    <w:rsid w:val="003B4130"/>
    <w:rsid w:val="003B6FA1"/>
    <w:rsid w:val="003B715B"/>
    <w:rsid w:val="003C2C62"/>
    <w:rsid w:val="003C5566"/>
    <w:rsid w:val="003C577A"/>
    <w:rsid w:val="003C7C74"/>
    <w:rsid w:val="003D1D14"/>
    <w:rsid w:val="003D6C7C"/>
    <w:rsid w:val="003D6EFB"/>
    <w:rsid w:val="003D7E52"/>
    <w:rsid w:val="003E25C6"/>
    <w:rsid w:val="003F7528"/>
    <w:rsid w:val="004011AA"/>
    <w:rsid w:val="0040202C"/>
    <w:rsid w:val="00404A8F"/>
    <w:rsid w:val="00406508"/>
    <w:rsid w:val="004110F6"/>
    <w:rsid w:val="004134F8"/>
    <w:rsid w:val="0041456E"/>
    <w:rsid w:val="004148E3"/>
    <w:rsid w:val="00414F7E"/>
    <w:rsid w:val="004164F8"/>
    <w:rsid w:val="00422224"/>
    <w:rsid w:val="00426F05"/>
    <w:rsid w:val="004328E1"/>
    <w:rsid w:val="004427B7"/>
    <w:rsid w:val="0044349F"/>
    <w:rsid w:val="00445F1F"/>
    <w:rsid w:val="00447862"/>
    <w:rsid w:val="00451F60"/>
    <w:rsid w:val="00452BB2"/>
    <w:rsid w:val="00456054"/>
    <w:rsid w:val="0045656D"/>
    <w:rsid w:val="00462D98"/>
    <w:rsid w:val="00463E7D"/>
    <w:rsid w:val="00472A44"/>
    <w:rsid w:val="00473A89"/>
    <w:rsid w:val="00475899"/>
    <w:rsid w:val="00482C78"/>
    <w:rsid w:val="00483ABC"/>
    <w:rsid w:val="0048634A"/>
    <w:rsid w:val="004874AE"/>
    <w:rsid w:val="0049056F"/>
    <w:rsid w:val="00492217"/>
    <w:rsid w:val="00494D24"/>
    <w:rsid w:val="004951D1"/>
    <w:rsid w:val="004960BB"/>
    <w:rsid w:val="004A1BA3"/>
    <w:rsid w:val="004A27D0"/>
    <w:rsid w:val="004A4D67"/>
    <w:rsid w:val="004B7E79"/>
    <w:rsid w:val="004C13CB"/>
    <w:rsid w:val="004C1AAB"/>
    <w:rsid w:val="004C5B90"/>
    <w:rsid w:val="004D3D4B"/>
    <w:rsid w:val="004D5498"/>
    <w:rsid w:val="004D66A5"/>
    <w:rsid w:val="004D6B00"/>
    <w:rsid w:val="004E1D50"/>
    <w:rsid w:val="004E3266"/>
    <w:rsid w:val="004E38BA"/>
    <w:rsid w:val="004E50CA"/>
    <w:rsid w:val="004F27A0"/>
    <w:rsid w:val="0050027D"/>
    <w:rsid w:val="00501382"/>
    <w:rsid w:val="005048FB"/>
    <w:rsid w:val="00510563"/>
    <w:rsid w:val="00510798"/>
    <w:rsid w:val="005119B5"/>
    <w:rsid w:val="005125F1"/>
    <w:rsid w:val="00524A11"/>
    <w:rsid w:val="00527768"/>
    <w:rsid w:val="00530EA4"/>
    <w:rsid w:val="005327FB"/>
    <w:rsid w:val="00533251"/>
    <w:rsid w:val="00533FCA"/>
    <w:rsid w:val="005346EF"/>
    <w:rsid w:val="00542F0C"/>
    <w:rsid w:val="005470D4"/>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571E"/>
    <w:rsid w:val="005C1D52"/>
    <w:rsid w:val="005C46AC"/>
    <w:rsid w:val="005D0200"/>
    <w:rsid w:val="005D44EF"/>
    <w:rsid w:val="005D5112"/>
    <w:rsid w:val="005D5D67"/>
    <w:rsid w:val="005D5E14"/>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6517"/>
    <w:rsid w:val="00636EE7"/>
    <w:rsid w:val="00637690"/>
    <w:rsid w:val="00640E1E"/>
    <w:rsid w:val="0064389A"/>
    <w:rsid w:val="00645442"/>
    <w:rsid w:val="006525CD"/>
    <w:rsid w:val="00653F7F"/>
    <w:rsid w:val="00662DCD"/>
    <w:rsid w:val="00662EE8"/>
    <w:rsid w:val="00663813"/>
    <w:rsid w:val="00664AFD"/>
    <w:rsid w:val="00667567"/>
    <w:rsid w:val="0067391A"/>
    <w:rsid w:val="00674173"/>
    <w:rsid w:val="0067534F"/>
    <w:rsid w:val="00677D87"/>
    <w:rsid w:val="006834FA"/>
    <w:rsid w:val="00690DB1"/>
    <w:rsid w:val="00693404"/>
    <w:rsid w:val="006953D9"/>
    <w:rsid w:val="006A1269"/>
    <w:rsid w:val="006A5803"/>
    <w:rsid w:val="006A69C3"/>
    <w:rsid w:val="006A7C15"/>
    <w:rsid w:val="006B1242"/>
    <w:rsid w:val="006B1DBC"/>
    <w:rsid w:val="006B3712"/>
    <w:rsid w:val="006B7D9A"/>
    <w:rsid w:val="006C06D9"/>
    <w:rsid w:val="006C3E22"/>
    <w:rsid w:val="006C5716"/>
    <w:rsid w:val="006C64B2"/>
    <w:rsid w:val="006C74A9"/>
    <w:rsid w:val="006D07DE"/>
    <w:rsid w:val="006D361A"/>
    <w:rsid w:val="006D6A81"/>
    <w:rsid w:val="006E06D9"/>
    <w:rsid w:val="006E1D40"/>
    <w:rsid w:val="006E2E1F"/>
    <w:rsid w:val="006E5059"/>
    <w:rsid w:val="006F5F03"/>
    <w:rsid w:val="006F5FFF"/>
    <w:rsid w:val="00710804"/>
    <w:rsid w:val="00711FC6"/>
    <w:rsid w:val="00712952"/>
    <w:rsid w:val="007130B1"/>
    <w:rsid w:val="00713487"/>
    <w:rsid w:val="00715071"/>
    <w:rsid w:val="007231E9"/>
    <w:rsid w:val="00724F0E"/>
    <w:rsid w:val="007270A6"/>
    <w:rsid w:val="00727C59"/>
    <w:rsid w:val="00733730"/>
    <w:rsid w:val="00734E5D"/>
    <w:rsid w:val="00736013"/>
    <w:rsid w:val="00737BF8"/>
    <w:rsid w:val="0074339B"/>
    <w:rsid w:val="0074478E"/>
    <w:rsid w:val="00750B60"/>
    <w:rsid w:val="00756245"/>
    <w:rsid w:val="00761662"/>
    <w:rsid w:val="00764043"/>
    <w:rsid w:val="00766A36"/>
    <w:rsid w:val="007757CF"/>
    <w:rsid w:val="007769F6"/>
    <w:rsid w:val="00780F9D"/>
    <w:rsid w:val="0078128F"/>
    <w:rsid w:val="007819D9"/>
    <w:rsid w:val="0078683C"/>
    <w:rsid w:val="00790EDB"/>
    <w:rsid w:val="00791538"/>
    <w:rsid w:val="0079326E"/>
    <w:rsid w:val="00796EDE"/>
    <w:rsid w:val="007A5A58"/>
    <w:rsid w:val="007B1C56"/>
    <w:rsid w:val="007B2EDC"/>
    <w:rsid w:val="007C1DD7"/>
    <w:rsid w:val="007C3CD5"/>
    <w:rsid w:val="007C4756"/>
    <w:rsid w:val="007C5E88"/>
    <w:rsid w:val="007C61EF"/>
    <w:rsid w:val="007C6783"/>
    <w:rsid w:val="007D03DE"/>
    <w:rsid w:val="007D1C0D"/>
    <w:rsid w:val="007D2D23"/>
    <w:rsid w:val="007E1AE9"/>
    <w:rsid w:val="007E27D6"/>
    <w:rsid w:val="007E3921"/>
    <w:rsid w:val="007F53E5"/>
    <w:rsid w:val="00801028"/>
    <w:rsid w:val="00803793"/>
    <w:rsid w:val="00804000"/>
    <w:rsid w:val="008101A2"/>
    <w:rsid w:val="00817A01"/>
    <w:rsid w:val="00820937"/>
    <w:rsid w:val="00825E35"/>
    <w:rsid w:val="00830A4E"/>
    <w:rsid w:val="008334F8"/>
    <w:rsid w:val="00835D53"/>
    <w:rsid w:val="00835FFD"/>
    <w:rsid w:val="0084381F"/>
    <w:rsid w:val="00843E35"/>
    <w:rsid w:val="008524CE"/>
    <w:rsid w:val="00857633"/>
    <w:rsid w:val="0086440C"/>
    <w:rsid w:val="008674ED"/>
    <w:rsid w:val="00874EE6"/>
    <w:rsid w:val="00876659"/>
    <w:rsid w:val="0087734C"/>
    <w:rsid w:val="00882141"/>
    <w:rsid w:val="00886BD4"/>
    <w:rsid w:val="008876EC"/>
    <w:rsid w:val="008922A8"/>
    <w:rsid w:val="00895BD5"/>
    <w:rsid w:val="008A16C4"/>
    <w:rsid w:val="008A4A27"/>
    <w:rsid w:val="008A649F"/>
    <w:rsid w:val="008A6FED"/>
    <w:rsid w:val="008B39C5"/>
    <w:rsid w:val="008B51AA"/>
    <w:rsid w:val="008C67F2"/>
    <w:rsid w:val="008D064A"/>
    <w:rsid w:val="008D2537"/>
    <w:rsid w:val="008D2B0F"/>
    <w:rsid w:val="008D633C"/>
    <w:rsid w:val="008E449E"/>
    <w:rsid w:val="008E4BDD"/>
    <w:rsid w:val="008E770C"/>
    <w:rsid w:val="008F187F"/>
    <w:rsid w:val="008F402F"/>
    <w:rsid w:val="008F76E8"/>
    <w:rsid w:val="00904508"/>
    <w:rsid w:val="009078A1"/>
    <w:rsid w:val="00911E9C"/>
    <w:rsid w:val="00917405"/>
    <w:rsid w:val="00920C1F"/>
    <w:rsid w:val="00920F7C"/>
    <w:rsid w:val="00922718"/>
    <w:rsid w:val="00924743"/>
    <w:rsid w:val="00932A87"/>
    <w:rsid w:val="00934CAE"/>
    <w:rsid w:val="0093560E"/>
    <w:rsid w:val="0094257D"/>
    <w:rsid w:val="009443B6"/>
    <w:rsid w:val="00946F68"/>
    <w:rsid w:val="0095467C"/>
    <w:rsid w:val="00954A61"/>
    <w:rsid w:val="00955C6F"/>
    <w:rsid w:val="00966C7B"/>
    <w:rsid w:val="009701DC"/>
    <w:rsid w:val="009715D8"/>
    <w:rsid w:val="009811A8"/>
    <w:rsid w:val="00991460"/>
    <w:rsid w:val="00995BF9"/>
    <w:rsid w:val="009975CC"/>
    <w:rsid w:val="009A0CAF"/>
    <w:rsid w:val="009A2207"/>
    <w:rsid w:val="009A2D34"/>
    <w:rsid w:val="009A6565"/>
    <w:rsid w:val="009B0EDA"/>
    <w:rsid w:val="009B6C42"/>
    <w:rsid w:val="009D2998"/>
    <w:rsid w:val="009D31F7"/>
    <w:rsid w:val="009D32C2"/>
    <w:rsid w:val="009D50DB"/>
    <w:rsid w:val="009E2932"/>
    <w:rsid w:val="009E3A0A"/>
    <w:rsid w:val="009F1936"/>
    <w:rsid w:val="009F3E91"/>
    <w:rsid w:val="00A008DA"/>
    <w:rsid w:val="00A00C93"/>
    <w:rsid w:val="00A0571E"/>
    <w:rsid w:val="00A13A27"/>
    <w:rsid w:val="00A1499B"/>
    <w:rsid w:val="00A170D8"/>
    <w:rsid w:val="00A30A1B"/>
    <w:rsid w:val="00A311AD"/>
    <w:rsid w:val="00A314C2"/>
    <w:rsid w:val="00A501BF"/>
    <w:rsid w:val="00A519A0"/>
    <w:rsid w:val="00A5274A"/>
    <w:rsid w:val="00A62A2E"/>
    <w:rsid w:val="00A63A4D"/>
    <w:rsid w:val="00A63E86"/>
    <w:rsid w:val="00A67AF7"/>
    <w:rsid w:val="00A75185"/>
    <w:rsid w:val="00A754A0"/>
    <w:rsid w:val="00A757C3"/>
    <w:rsid w:val="00A75E5B"/>
    <w:rsid w:val="00A75F4B"/>
    <w:rsid w:val="00A7684A"/>
    <w:rsid w:val="00A83B69"/>
    <w:rsid w:val="00A86533"/>
    <w:rsid w:val="00A91CA2"/>
    <w:rsid w:val="00A92FB8"/>
    <w:rsid w:val="00A948F1"/>
    <w:rsid w:val="00AA0BE3"/>
    <w:rsid w:val="00AA18F9"/>
    <w:rsid w:val="00AA1D7D"/>
    <w:rsid w:val="00AA2790"/>
    <w:rsid w:val="00AA3806"/>
    <w:rsid w:val="00AB139D"/>
    <w:rsid w:val="00AB2A35"/>
    <w:rsid w:val="00AB2D05"/>
    <w:rsid w:val="00AB3EFB"/>
    <w:rsid w:val="00AC0B05"/>
    <w:rsid w:val="00AC1962"/>
    <w:rsid w:val="00AC7F9D"/>
    <w:rsid w:val="00AD079A"/>
    <w:rsid w:val="00AD1890"/>
    <w:rsid w:val="00AE2149"/>
    <w:rsid w:val="00AE2BF3"/>
    <w:rsid w:val="00AE33AE"/>
    <w:rsid w:val="00AE3986"/>
    <w:rsid w:val="00AE3F91"/>
    <w:rsid w:val="00AF5B63"/>
    <w:rsid w:val="00B0053D"/>
    <w:rsid w:val="00B01176"/>
    <w:rsid w:val="00B039E3"/>
    <w:rsid w:val="00B06D36"/>
    <w:rsid w:val="00B12BC4"/>
    <w:rsid w:val="00B22838"/>
    <w:rsid w:val="00B33E8F"/>
    <w:rsid w:val="00B33E95"/>
    <w:rsid w:val="00B3720B"/>
    <w:rsid w:val="00B45D0B"/>
    <w:rsid w:val="00B52FA0"/>
    <w:rsid w:val="00B5558A"/>
    <w:rsid w:val="00B56513"/>
    <w:rsid w:val="00B61B64"/>
    <w:rsid w:val="00B631E4"/>
    <w:rsid w:val="00B64376"/>
    <w:rsid w:val="00B6570C"/>
    <w:rsid w:val="00B6790B"/>
    <w:rsid w:val="00B7401F"/>
    <w:rsid w:val="00B769CF"/>
    <w:rsid w:val="00B806C3"/>
    <w:rsid w:val="00B80D6F"/>
    <w:rsid w:val="00B84FCA"/>
    <w:rsid w:val="00B9089F"/>
    <w:rsid w:val="00B91826"/>
    <w:rsid w:val="00B91AEE"/>
    <w:rsid w:val="00B95F5A"/>
    <w:rsid w:val="00B96EAD"/>
    <w:rsid w:val="00BA4962"/>
    <w:rsid w:val="00BA4B7C"/>
    <w:rsid w:val="00BA79F5"/>
    <w:rsid w:val="00BA7EA7"/>
    <w:rsid w:val="00BB2E28"/>
    <w:rsid w:val="00BB3AB6"/>
    <w:rsid w:val="00BB766D"/>
    <w:rsid w:val="00BC007B"/>
    <w:rsid w:val="00BC1715"/>
    <w:rsid w:val="00BC26BA"/>
    <w:rsid w:val="00BC35F8"/>
    <w:rsid w:val="00BC481B"/>
    <w:rsid w:val="00BD08DF"/>
    <w:rsid w:val="00BD2D29"/>
    <w:rsid w:val="00BD617C"/>
    <w:rsid w:val="00BE782C"/>
    <w:rsid w:val="00BF376F"/>
    <w:rsid w:val="00BF46A6"/>
    <w:rsid w:val="00BF6CAD"/>
    <w:rsid w:val="00BF71FB"/>
    <w:rsid w:val="00C04DBF"/>
    <w:rsid w:val="00C05E4C"/>
    <w:rsid w:val="00C06545"/>
    <w:rsid w:val="00C134AF"/>
    <w:rsid w:val="00C220FC"/>
    <w:rsid w:val="00C24DFA"/>
    <w:rsid w:val="00C24F9D"/>
    <w:rsid w:val="00C30182"/>
    <w:rsid w:val="00C31FC9"/>
    <w:rsid w:val="00C37A63"/>
    <w:rsid w:val="00C42248"/>
    <w:rsid w:val="00C46A36"/>
    <w:rsid w:val="00C47037"/>
    <w:rsid w:val="00C50235"/>
    <w:rsid w:val="00C509E3"/>
    <w:rsid w:val="00C53625"/>
    <w:rsid w:val="00C548BA"/>
    <w:rsid w:val="00C5679D"/>
    <w:rsid w:val="00C57784"/>
    <w:rsid w:val="00C602C1"/>
    <w:rsid w:val="00C63FC0"/>
    <w:rsid w:val="00C66392"/>
    <w:rsid w:val="00C7075D"/>
    <w:rsid w:val="00C73D09"/>
    <w:rsid w:val="00C74895"/>
    <w:rsid w:val="00C74C5E"/>
    <w:rsid w:val="00C82558"/>
    <w:rsid w:val="00C827A2"/>
    <w:rsid w:val="00C82B69"/>
    <w:rsid w:val="00C82C8E"/>
    <w:rsid w:val="00C82CB3"/>
    <w:rsid w:val="00C91B28"/>
    <w:rsid w:val="00C91F3A"/>
    <w:rsid w:val="00C93590"/>
    <w:rsid w:val="00CA31EA"/>
    <w:rsid w:val="00CA5446"/>
    <w:rsid w:val="00CB14E5"/>
    <w:rsid w:val="00CB218D"/>
    <w:rsid w:val="00CB5625"/>
    <w:rsid w:val="00CB5797"/>
    <w:rsid w:val="00CC1C17"/>
    <w:rsid w:val="00CC4F7F"/>
    <w:rsid w:val="00CC5D70"/>
    <w:rsid w:val="00CD09E1"/>
    <w:rsid w:val="00CE1780"/>
    <w:rsid w:val="00CE4913"/>
    <w:rsid w:val="00CE66BD"/>
    <w:rsid w:val="00CF0671"/>
    <w:rsid w:val="00CF247A"/>
    <w:rsid w:val="00CF44AD"/>
    <w:rsid w:val="00CF4D7C"/>
    <w:rsid w:val="00CF4FC0"/>
    <w:rsid w:val="00CF7486"/>
    <w:rsid w:val="00D00637"/>
    <w:rsid w:val="00D1072F"/>
    <w:rsid w:val="00D108A5"/>
    <w:rsid w:val="00D14585"/>
    <w:rsid w:val="00D153C8"/>
    <w:rsid w:val="00D17F98"/>
    <w:rsid w:val="00D20EFF"/>
    <w:rsid w:val="00D215B9"/>
    <w:rsid w:val="00D31324"/>
    <w:rsid w:val="00D4386E"/>
    <w:rsid w:val="00D51432"/>
    <w:rsid w:val="00D53ED8"/>
    <w:rsid w:val="00D541A0"/>
    <w:rsid w:val="00D57700"/>
    <w:rsid w:val="00D64857"/>
    <w:rsid w:val="00D6493A"/>
    <w:rsid w:val="00D649A5"/>
    <w:rsid w:val="00D66833"/>
    <w:rsid w:val="00D67875"/>
    <w:rsid w:val="00D71E86"/>
    <w:rsid w:val="00D731C6"/>
    <w:rsid w:val="00D745C5"/>
    <w:rsid w:val="00D75327"/>
    <w:rsid w:val="00D77D6B"/>
    <w:rsid w:val="00D80C36"/>
    <w:rsid w:val="00D81A32"/>
    <w:rsid w:val="00D86EE1"/>
    <w:rsid w:val="00D95E90"/>
    <w:rsid w:val="00D96126"/>
    <w:rsid w:val="00DA2FD5"/>
    <w:rsid w:val="00DB4B1C"/>
    <w:rsid w:val="00DB5085"/>
    <w:rsid w:val="00DB619F"/>
    <w:rsid w:val="00DB7211"/>
    <w:rsid w:val="00DC1062"/>
    <w:rsid w:val="00DC132C"/>
    <w:rsid w:val="00DC181A"/>
    <w:rsid w:val="00DC5727"/>
    <w:rsid w:val="00DD43F0"/>
    <w:rsid w:val="00DD44DE"/>
    <w:rsid w:val="00DE09AB"/>
    <w:rsid w:val="00DE1DCC"/>
    <w:rsid w:val="00DE352F"/>
    <w:rsid w:val="00DE4A3F"/>
    <w:rsid w:val="00DE5A99"/>
    <w:rsid w:val="00DF4367"/>
    <w:rsid w:val="00DF7291"/>
    <w:rsid w:val="00E0574A"/>
    <w:rsid w:val="00E1243D"/>
    <w:rsid w:val="00E12742"/>
    <w:rsid w:val="00E146D4"/>
    <w:rsid w:val="00E14815"/>
    <w:rsid w:val="00E21D37"/>
    <w:rsid w:val="00E220ED"/>
    <w:rsid w:val="00E22B44"/>
    <w:rsid w:val="00E30ACD"/>
    <w:rsid w:val="00E32735"/>
    <w:rsid w:val="00E34236"/>
    <w:rsid w:val="00E44B88"/>
    <w:rsid w:val="00E518F8"/>
    <w:rsid w:val="00E60DDB"/>
    <w:rsid w:val="00E65AD9"/>
    <w:rsid w:val="00E66E36"/>
    <w:rsid w:val="00E67F21"/>
    <w:rsid w:val="00E702ED"/>
    <w:rsid w:val="00E709A4"/>
    <w:rsid w:val="00E75917"/>
    <w:rsid w:val="00E772DB"/>
    <w:rsid w:val="00E86012"/>
    <w:rsid w:val="00E860CA"/>
    <w:rsid w:val="00E86BAB"/>
    <w:rsid w:val="00E92962"/>
    <w:rsid w:val="00E94E10"/>
    <w:rsid w:val="00E96743"/>
    <w:rsid w:val="00E96A42"/>
    <w:rsid w:val="00E97497"/>
    <w:rsid w:val="00EA16D5"/>
    <w:rsid w:val="00EA49C5"/>
    <w:rsid w:val="00EA6279"/>
    <w:rsid w:val="00EB5027"/>
    <w:rsid w:val="00EB6C87"/>
    <w:rsid w:val="00EC1836"/>
    <w:rsid w:val="00EC2F6E"/>
    <w:rsid w:val="00EC3990"/>
    <w:rsid w:val="00EC484B"/>
    <w:rsid w:val="00EC6D43"/>
    <w:rsid w:val="00EC7E58"/>
    <w:rsid w:val="00ED15FA"/>
    <w:rsid w:val="00ED5C9F"/>
    <w:rsid w:val="00EE050C"/>
    <w:rsid w:val="00EE2113"/>
    <w:rsid w:val="00EE5730"/>
    <w:rsid w:val="00EE6E9A"/>
    <w:rsid w:val="00EF2AC4"/>
    <w:rsid w:val="00EF397E"/>
    <w:rsid w:val="00F0340C"/>
    <w:rsid w:val="00F06F68"/>
    <w:rsid w:val="00F11241"/>
    <w:rsid w:val="00F15E9D"/>
    <w:rsid w:val="00F23FA7"/>
    <w:rsid w:val="00F24C2D"/>
    <w:rsid w:val="00F27BEC"/>
    <w:rsid w:val="00F27D59"/>
    <w:rsid w:val="00F316E1"/>
    <w:rsid w:val="00F32155"/>
    <w:rsid w:val="00F32A81"/>
    <w:rsid w:val="00F40C82"/>
    <w:rsid w:val="00F4197F"/>
    <w:rsid w:val="00F46998"/>
    <w:rsid w:val="00F5382D"/>
    <w:rsid w:val="00F53D9C"/>
    <w:rsid w:val="00F54195"/>
    <w:rsid w:val="00F5462B"/>
    <w:rsid w:val="00F54653"/>
    <w:rsid w:val="00F54FAC"/>
    <w:rsid w:val="00F569DE"/>
    <w:rsid w:val="00F57205"/>
    <w:rsid w:val="00F634AD"/>
    <w:rsid w:val="00F63677"/>
    <w:rsid w:val="00F70658"/>
    <w:rsid w:val="00F7417E"/>
    <w:rsid w:val="00F75B81"/>
    <w:rsid w:val="00F761CA"/>
    <w:rsid w:val="00F804C4"/>
    <w:rsid w:val="00F80C7E"/>
    <w:rsid w:val="00F82F83"/>
    <w:rsid w:val="00F86097"/>
    <w:rsid w:val="00F90C64"/>
    <w:rsid w:val="00F9210C"/>
    <w:rsid w:val="00F92B30"/>
    <w:rsid w:val="00F933B9"/>
    <w:rsid w:val="00F94674"/>
    <w:rsid w:val="00F94919"/>
    <w:rsid w:val="00F94A59"/>
    <w:rsid w:val="00FA25B6"/>
    <w:rsid w:val="00FA2FAF"/>
    <w:rsid w:val="00FA54F6"/>
    <w:rsid w:val="00FA64B1"/>
    <w:rsid w:val="00FA70F3"/>
    <w:rsid w:val="00FA71CD"/>
    <w:rsid w:val="00FB0453"/>
    <w:rsid w:val="00FB0C07"/>
    <w:rsid w:val="00FB205F"/>
    <w:rsid w:val="00FB298D"/>
    <w:rsid w:val="00FB3171"/>
    <w:rsid w:val="00FB444E"/>
    <w:rsid w:val="00FC1439"/>
    <w:rsid w:val="00FC3F65"/>
    <w:rsid w:val="00FC5007"/>
    <w:rsid w:val="00FC70AD"/>
    <w:rsid w:val="00FC724B"/>
    <w:rsid w:val="00FC7910"/>
    <w:rsid w:val="00FD01E0"/>
    <w:rsid w:val="00FD50FC"/>
    <w:rsid w:val="00FE1627"/>
    <w:rsid w:val="00FE2D4E"/>
    <w:rsid w:val="00FE3F22"/>
    <w:rsid w:val="00FF092F"/>
    <w:rsid w:val="00FF0DA7"/>
    <w:rsid w:val="00FF2B09"/>
    <w:rsid w:val="00FF44E0"/>
    <w:rsid w:val="00FF6C72"/>
    <w:rsid w:val="01722E9F"/>
    <w:rsid w:val="01895BF7"/>
    <w:rsid w:val="01915CC2"/>
    <w:rsid w:val="0200793B"/>
    <w:rsid w:val="02332E02"/>
    <w:rsid w:val="02EB0203"/>
    <w:rsid w:val="03E92A5F"/>
    <w:rsid w:val="04E3362F"/>
    <w:rsid w:val="05B12E42"/>
    <w:rsid w:val="06AE129F"/>
    <w:rsid w:val="072D20A4"/>
    <w:rsid w:val="073B420D"/>
    <w:rsid w:val="083420ED"/>
    <w:rsid w:val="08DB71DA"/>
    <w:rsid w:val="09A909AA"/>
    <w:rsid w:val="0A3D35AB"/>
    <w:rsid w:val="0A542106"/>
    <w:rsid w:val="0A6C4667"/>
    <w:rsid w:val="0A96528E"/>
    <w:rsid w:val="0ACA19B9"/>
    <w:rsid w:val="0AED66DC"/>
    <w:rsid w:val="0AFA301B"/>
    <w:rsid w:val="0BB81A26"/>
    <w:rsid w:val="0BBE711B"/>
    <w:rsid w:val="0BD47173"/>
    <w:rsid w:val="0C1B47F2"/>
    <w:rsid w:val="0C4264AA"/>
    <w:rsid w:val="0C59200B"/>
    <w:rsid w:val="0C6157E5"/>
    <w:rsid w:val="0D731909"/>
    <w:rsid w:val="0DB63633"/>
    <w:rsid w:val="0E76520D"/>
    <w:rsid w:val="0F331226"/>
    <w:rsid w:val="10024664"/>
    <w:rsid w:val="10607C4F"/>
    <w:rsid w:val="106E6418"/>
    <w:rsid w:val="11323C4E"/>
    <w:rsid w:val="12A019F6"/>
    <w:rsid w:val="12D71D5F"/>
    <w:rsid w:val="132C019B"/>
    <w:rsid w:val="147857DB"/>
    <w:rsid w:val="148564C0"/>
    <w:rsid w:val="14E06953"/>
    <w:rsid w:val="151B7FB7"/>
    <w:rsid w:val="155A6329"/>
    <w:rsid w:val="155E01DC"/>
    <w:rsid w:val="16551BAC"/>
    <w:rsid w:val="167B6427"/>
    <w:rsid w:val="16B27D38"/>
    <w:rsid w:val="184F0BB8"/>
    <w:rsid w:val="18561C0B"/>
    <w:rsid w:val="18F51DFF"/>
    <w:rsid w:val="191C0823"/>
    <w:rsid w:val="1930691F"/>
    <w:rsid w:val="19FD67E3"/>
    <w:rsid w:val="1A6528FE"/>
    <w:rsid w:val="1A835004"/>
    <w:rsid w:val="1A896EB9"/>
    <w:rsid w:val="1B153AEE"/>
    <w:rsid w:val="1BA61F6F"/>
    <w:rsid w:val="1C3B6B5A"/>
    <w:rsid w:val="1C403CED"/>
    <w:rsid w:val="1C63029E"/>
    <w:rsid w:val="1C715A71"/>
    <w:rsid w:val="1CC921E7"/>
    <w:rsid w:val="1D1C4205"/>
    <w:rsid w:val="1D444EB6"/>
    <w:rsid w:val="1DA70534"/>
    <w:rsid w:val="1DA840EB"/>
    <w:rsid w:val="1DE237B1"/>
    <w:rsid w:val="1E186BC7"/>
    <w:rsid w:val="1E8307FC"/>
    <w:rsid w:val="1E9B6599"/>
    <w:rsid w:val="1F197A16"/>
    <w:rsid w:val="1F3609D0"/>
    <w:rsid w:val="200E7E84"/>
    <w:rsid w:val="204A474C"/>
    <w:rsid w:val="20622EA9"/>
    <w:rsid w:val="209B6D55"/>
    <w:rsid w:val="20C16461"/>
    <w:rsid w:val="20FF5536"/>
    <w:rsid w:val="214D44F3"/>
    <w:rsid w:val="221460E5"/>
    <w:rsid w:val="222A786C"/>
    <w:rsid w:val="226F2197"/>
    <w:rsid w:val="23146520"/>
    <w:rsid w:val="23585502"/>
    <w:rsid w:val="23596C26"/>
    <w:rsid w:val="24577437"/>
    <w:rsid w:val="2464011B"/>
    <w:rsid w:val="25253696"/>
    <w:rsid w:val="258B75EB"/>
    <w:rsid w:val="25AC3125"/>
    <w:rsid w:val="262D78EB"/>
    <w:rsid w:val="265D7770"/>
    <w:rsid w:val="27CA60F4"/>
    <w:rsid w:val="27E85AF1"/>
    <w:rsid w:val="28AD5878"/>
    <w:rsid w:val="28C929C1"/>
    <w:rsid w:val="295220BC"/>
    <w:rsid w:val="29DA6B0B"/>
    <w:rsid w:val="2A093B18"/>
    <w:rsid w:val="2A8D7B4E"/>
    <w:rsid w:val="2ABD245A"/>
    <w:rsid w:val="2B412386"/>
    <w:rsid w:val="2BB34FD2"/>
    <w:rsid w:val="2BF86ABC"/>
    <w:rsid w:val="2CC63B0D"/>
    <w:rsid w:val="2CEA687B"/>
    <w:rsid w:val="2D1633EB"/>
    <w:rsid w:val="2D4147B3"/>
    <w:rsid w:val="2DE16C1F"/>
    <w:rsid w:val="2E1B2EA1"/>
    <w:rsid w:val="2E1B7727"/>
    <w:rsid w:val="2E63511A"/>
    <w:rsid w:val="2E8A78B1"/>
    <w:rsid w:val="2EB35320"/>
    <w:rsid w:val="2ED8290F"/>
    <w:rsid w:val="2F111D48"/>
    <w:rsid w:val="2F194388"/>
    <w:rsid w:val="2F317872"/>
    <w:rsid w:val="2F3F0C54"/>
    <w:rsid w:val="2F4615DA"/>
    <w:rsid w:val="2F486A37"/>
    <w:rsid w:val="30122836"/>
    <w:rsid w:val="30ED2B9B"/>
    <w:rsid w:val="31197749"/>
    <w:rsid w:val="32447938"/>
    <w:rsid w:val="32691053"/>
    <w:rsid w:val="32A538A5"/>
    <w:rsid w:val="330E360D"/>
    <w:rsid w:val="33B37D2E"/>
    <w:rsid w:val="33F61444"/>
    <w:rsid w:val="34404A62"/>
    <w:rsid w:val="34A277E4"/>
    <w:rsid w:val="34C066CC"/>
    <w:rsid w:val="352620DC"/>
    <w:rsid w:val="35E5310F"/>
    <w:rsid w:val="35FC6DAB"/>
    <w:rsid w:val="366076BD"/>
    <w:rsid w:val="3661430F"/>
    <w:rsid w:val="369D587E"/>
    <w:rsid w:val="36CF1D5D"/>
    <w:rsid w:val="370F3BF6"/>
    <w:rsid w:val="37904CE2"/>
    <w:rsid w:val="38851021"/>
    <w:rsid w:val="38F6064B"/>
    <w:rsid w:val="39293004"/>
    <w:rsid w:val="39882115"/>
    <w:rsid w:val="39E10D60"/>
    <w:rsid w:val="3AE27603"/>
    <w:rsid w:val="3B1E60AA"/>
    <w:rsid w:val="3BFC5E74"/>
    <w:rsid w:val="3C0059BB"/>
    <w:rsid w:val="3C5F3E33"/>
    <w:rsid w:val="3CCA3132"/>
    <w:rsid w:val="3E7D58CA"/>
    <w:rsid w:val="3E8926E5"/>
    <w:rsid w:val="3F5E4365"/>
    <w:rsid w:val="3F7B5FD7"/>
    <w:rsid w:val="406359DC"/>
    <w:rsid w:val="40AD51B3"/>
    <w:rsid w:val="41200631"/>
    <w:rsid w:val="413A72C9"/>
    <w:rsid w:val="415470E2"/>
    <w:rsid w:val="418E2758"/>
    <w:rsid w:val="41947ED3"/>
    <w:rsid w:val="41AF5742"/>
    <w:rsid w:val="41BB759E"/>
    <w:rsid w:val="41F77090"/>
    <w:rsid w:val="426A02D0"/>
    <w:rsid w:val="427A72D9"/>
    <w:rsid w:val="42B740A7"/>
    <w:rsid w:val="433C6E2B"/>
    <w:rsid w:val="4353477A"/>
    <w:rsid w:val="43C05511"/>
    <w:rsid w:val="43F518F9"/>
    <w:rsid w:val="44483A79"/>
    <w:rsid w:val="4453602D"/>
    <w:rsid w:val="446B6021"/>
    <w:rsid w:val="4539480B"/>
    <w:rsid w:val="45FC7108"/>
    <w:rsid w:val="471A592D"/>
    <w:rsid w:val="473A7BED"/>
    <w:rsid w:val="47863A67"/>
    <w:rsid w:val="478F71C4"/>
    <w:rsid w:val="4821786A"/>
    <w:rsid w:val="4825146D"/>
    <w:rsid w:val="489D0D3E"/>
    <w:rsid w:val="4960590E"/>
    <w:rsid w:val="49823713"/>
    <w:rsid w:val="49840180"/>
    <w:rsid w:val="499637FE"/>
    <w:rsid w:val="4A287AB5"/>
    <w:rsid w:val="4A355CC3"/>
    <w:rsid w:val="4A6169D0"/>
    <w:rsid w:val="4B014864"/>
    <w:rsid w:val="4B954E7C"/>
    <w:rsid w:val="4C6A54AA"/>
    <w:rsid w:val="4C81528D"/>
    <w:rsid w:val="4D1A4990"/>
    <w:rsid w:val="4D77070B"/>
    <w:rsid w:val="4E6B046C"/>
    <w:rsid w:val="4E707289"/>
    <w:rsid w:val="4E7A01F3"/>
    <w:rsid w:val="4E9E4717"/>
    <w:rsid w:val="4EEA3D40"/>
    <w:rsid w:val="4F00728A"/>
    <w:rsid w:val="4F3F6AB1"/>
    <w:rsid w:val="4F5D071B"/>
    <w:rsid w:val="4F8B6063"/>
    <w:rsid w:val="4F9B688F"/>
    <w:rsid w:val="4FFC0BB0"/>
    <w:rsid w:val="505446A7"/>
    <w:rsid w:val="50713114"/>
    <w:rsid w:val="50A11AE9"/>
    <w:rsid w:val="50A318FA"/>
    <w:rsid w:val="52A53851"/>
    <w:rsid w:val="54087D99"/>
    <w:rsid w:val="54A72003"/>
    <w:rsid w:val="54B440E6"/>
    <w:rsid w:val="56023921"/>
    <w:rsid w:val="568253C9"/>
    <w:rsid w:val="56FE35BF"/>
    <w:rsid w:val="57C26492"/>
    <w:rsid w:val="5809250B"/>
    <w:rsid w:val="587252CF"/>
    <w:rsid w:val="591A29EC"/>
    <w:rsid w:val="593C469E"/>
    <w:rsid w:val="59FC46D9"/>
    <w:rsid w:val="5A3617D9"/>
    <w:rsid w:val="5A7F6B6C"/>
    <w:rsid w:val="5AA220B4"/>
    <w:rsid w:val="5AFB613D"/>
    <w:rsid w:val="5B48305A"/>
    <w:rsid w:val="5B884B20"/>
    <w:rsid w:val="5BC0556E"/>
    <w:rsid w:val="5BC81C40"/>
    <w:rsid w:val="5BFB1E7B"/>
    <w:rsid w:val="5C3929A3"/>
    <w:rsid w:val="5CE76F8F"/>
    <w:rsid w:val="5DA327CA"/>
    <w:rsid w:val="5F13397F"/>
    <w:rsid w:val="5FD74633"/>
    <w:rsid w:val="60352AA6"/>
    <w:rsid w:val="604558F1"/>
    <w:rsid w:val="60713FEA"/>
    <w:rsid w:val="60943AC4"/>
    <w:rsid w:val="60E412C0"/>
    <w:rsid w:val="61170DD0"/>
    <w:rsid w:val="61E323AE"/>
    <w:rsid w:val="61FF1A7E"/>
    <w:rsid w:val="6222268E"/>
    <w:rsid w:val="623331AC"/>
    <w:rsid w:val="625772C4"/>
    <w:rsid w:val="625F161B"/>
    <w:rsid w:val="62681CB9"/>
    <w:rsid w:val="62701F64"/>
    <w:rsid w:val="62B05DB5"/>
    <w:rsid w:val="636F3034"/>
    <w:rsid w:val="647E4FA3"/>
    <w:rsid w:val="648B3FB8"/>
    <w:rsid w:val="650516A8"/>
    <w:rsid w:val="65330581"/>
    <w:rsid w:val="65830E72"/>
    <w:rsid w:val="659550EE"/>
    <w:rsid w:val="66E81280"/>
    <w:rsid w:val="670A38BA"/>
    <w:rsid w:val="679872EF"/>
    <w:rsid w:val="67AF0629"/>
    <w:rsid w:val="67DA5F93"/>
    <w:rsid w:val="6815480C"/>
    <w:rsid w:val="69110DD3"/>
    <w:rsid w:val="691D526F"/>
    <w:rsid w:val="69676D3F"/>
    <w:rsid w:val="6A2E3597"/>
    <w:rsid w:val="6B607F4C"/>
    <w:rsid w:val="6B6F18F5"/>
    <w:rsid w:val="6C0413FC"/>
    <w:rsid w:val="6C8D150C"/>
    <w:rsid w:val="6CE35249"/>
    <w:rsid w:val="6D4F6C2C"/>
    <w:rsid w:val="6D5334E4"/>
    <w:rsid w:val="6DD642C4"/>
    <w:rsid w:val="6E39711A"/>
    <w:rsid w:val="6E6C09B6"/>
    <w:rsid w:val="6E89332F"/>
    <w:rsid w:val="6E997D6C"/>
    <w:rsid w:val="6EC35CE7"/>
    <w:rsid w:val="6ED13F0C"/>
    <w:rsid w:val="6EF3406E"/>
    <w:rsid w:val="6EF50A14"/>
    <w:rsid w:val="6EF616F6"/>
    <w:rsid w:val="6F3F486C"/>
    <w:rsid w:val="6F5D575B"/>
    <w:rsid w:val="70955AC1"/>
    <w:rsid w:val="70BB20F0"/>
    <w:rsid w:val="70F653A5"/>
    <w:rsid w:val="71467526"/>
    <w:rsid w:val="71A27D2A"/>
    <w:rsid w:val="73DB3472"/>
    <w:rsid w:val="74FC2405"/>
    <w:rsid w:val="750A4FF4"/>
    <w:rsid w:val="754058DD"/>
    <w:rsid w:val="75CA2B92"/>
    <w:rsid w:val="7605782D"/>
    <w:rsid w:val="762E313E"/>
    <w:rsid w:val="76964CC9"/>
    <w:rsid w:val="771A04F8"/>
    <w:rsid w:val="77A1453A"/>
    <w:rsid w:val="784A4B73"/>
    <w:rsid w:val="786924FD"/>
    <w:rsid w:val="78BF143B"/>
    <w:rsid w:val="799B26EC"/>
    <w:rsid w:val="7A5B3FA8"/>
    <w:rsid w:val="7B0B2849"/>
    <w:rsid w:val="7BA174E1"/>
    <w:rsid w:val="7BC04FC3"/>
    <w:rsid w:val="7CA72746"/>
    <w:rsid w:val="7D1961AD"/>
    <w:rsid w:val="7D475B82"/>
    <w:rsid w:val="7D983576"/>
    <w:rsid w:val="7DC33C3F"/>
    <w:rsid w:val="7E09553B"/>
    <w:rsid w:val="7EA81A90"/>
    <w:rsid w:val="7F124B9E"/>
    <w:rsid w:val="7F2B14FE"/>
    <w:rsid w:val="7F854DA8"/>
    <w:rsid w:val="7FFD2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60"/>
    <w:autoRedefine/>
    <w:semiHidden/>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65"/>
    <w:autoRedefine/>
    <w:qFormat/>
    <w:uiPriority w:val="0"/>
    <w:pPr>
      <w:keepNext/>
      <w:keepLines/>
      <w:spacing w:before="280" w:after="290" w:line="376" w:lineRule="auto"/>
      <w:outlineLvl w:val="3"/>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57"/>
    <w:autoRedefine/>
    <w:qFormat/>
    <w:uiPriority w:val="0"/>
    <w:pPr>
      <w:jc w:val="left"/>
    </w:pPr>
    <w:rPr>
      <w:rFonts w:ascii="Arial" w:hAnsi="Arial" w:eastAsia="黑体" w:cs="Arial"/>
    </w:rPr>
  </w:style>
  <w:style w:type="paragraph" w:styleId="8">
    <w:name w:val="Body Text"/>
    <w:basedOn w:val="1"/>
    <w:next w:val="1"/>
    <w:link w:val="66"/>
    <w:autoRedefine/>
    <w:qFormat/>
    <w:uiPriority w:val="0"/>
    <w:pPr>
      <w:spacing w:after="120"/>
    </w:pPr>
    <w:rPr>
      <w:rFonts w:ascii="@微软简标宋" w:hAnsi="@微软简标宋" w:eastAsia="@微软简标宋" w:cs="@微软简标宋"/>
      <w:szCs w:val="24"/>
      <w:lang w:val="zh-CN"/>
    </w:rPr>
  </w:style>
  <w:style w:type="paragraph" w:styleId="9">
    <w:name w:val="Body Text Indent"/>
    <w:basedOn w:val="1"/>
    <w:next w:val="10"/>
    <w:unhideWhenUsed/>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46"/>
    <w:autoRedefine/>
    <w:qFormat/>
    <w:uiPriority w:val="99"/>
    <w:rPr>
      <w:rFonts w:ascii="宋体" w:hAnsi="Courier New" w:eastAsiaTheme="minorEastAsia" w:cstheme="minorBidi"/>
      <w:szCs w:val="22"/>
    </w:rPr>
  </w:style>
  <w:style w:type="paragraph" w:styleId="13">
    <w:name w:val="Date"/>
    <w:basedOn w:val="1"/>
    <w:next w:val="1"/>
    <w:link w:val="53"/>
    <w:autoRedefine/>
    <w:qFormat/>
    <w:uiPriority w:val="0"/>
    <w:rPr>
      <w:rFonts w:ascii="Arial" w:hAnsi="Arial" w:eastAsia="宋体" w:cs="Arial"/>
      <w:b/>
      <w:sz w:val="28"/>
    </w:rPr>
  </w:style>
  <w:style w:type="paragraph" w:styleId="14">
    <w:name w:val="Body Text Indent 2"/>
    <w:basedOn w:val="1"/>
    <w:semiHidden/>
    <w:unhideWhenUsed/>
    <w:qFormat/>
    <w:uiPriority w:val="99"/>
    <w:pPr>
      <w:spacing w:after="120" w:line="480" w:lineRule="auto"/>
      <w:ind w:left="420" w:leftChars="200"/>
    </w:pPr>
  </w:style>
  <w:style w:type="paragraph" w:styleId="15">
    <w:name w:val="Balloon Text"/>
    <w:basedOn w:val="1"/>
    <w:link w:val="40"/>
    <w:autoRedefine/>
    <w:semiHidden/>
    <w:unhideWhenUsed/>
    <w:qFormat/>
    <w:uiPriority w:val="99"/>
    <w:rPr>
      <w:sz w:val="18"/>
      <w:szCs w:val="18"/>
    </w:rPr>
  </w:style>
  <w:style w:type="paragraph" w:styleId="16">
    <w:name w:val="footer"/>
    <w:basedOn w:val="1"/>
    <w:link w:val="45"/>
    <w:autoRedefine/>
    <w:unhideWhenUsed/>
    <w:qFormat/>
    <w:uiPriority w:val="99"/>
    <w:pPr>
      <w:tabs>
        <w:tab w:val="center" w:pos="4153"/>
        <w:tab w:val="right" w:pos="8306"/>
      </w:tabs>
      <w:snapToGrid w:val="0"/>
      <w:jc w:val="left"/>
    </w:pPr>
    <w:rPr>
      <w:sz w:val="18"/>
      <w:szCs w:val="18"/>
    </w:rPr>
  </w:style>
  <w:style w:type="paragraph" w:styleId="17">
    <w:name w:val="header"/>
    <w:basedOn w:val="1"/>
    <w:link w:val="4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List"/>
    <w:basedOn w:val="1"/>
    <w:qFormat/>
    <w:uiPriority w:val="0"/>
    <w:pPr>
      <w:ind w:left="420" w:hanging="420"/>
    </w:p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next w:val="1"/>
    <w:autoRedefine/>
    <w:qFormat/>
    <w:uiPriority w:val="0"/>
    <w:pPr>
      <w:spacing w:before="100" w:beforeAutospacing="1" w:after="100"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Body Text First Indent"/>
    <w:basedOn w:val="8"/>
    <w:autoRedefine/>
    <w:unhideWhenUsed/>
    <w:qFormat/>
    <w:uiPriority w:val="99"/>
    <w:pPr>
      <w:ind w:firstLine="420" w:firstLineChars="100"/>
    </w:pPr>
  </w:style>
  <w:style w:type="paragraph" w:styleId="24">
    <w:name w:val="Body Text First Indent 2"/>
    <w:basedOn w:val="9"/>
    <w:next w:val="19"/>
    <w:unhideWhenUsed/>
    <w:qFormat/>
    <w:uiPriority w:val="99"/>
    <w:pPr>
      <w:ind w:firstLine="420" w:firstLineChars="200"/>
    </w:pPr>
  </w:style>
  <w:style w:type="table" w:styleId="26">
    <w:name w:val="Table Grid"/>
    <w:basedOn w:val="2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FollowedHyperlink"/>
    <w:basedOn w:val="27"/>
    <w:autoRedefine/>
    <w:semiHidden/>
    <w:unhideWhenUsed/>
    <w:qFormat/>
    <w:uiPriority w:val="99"/>
    <w:rPr>
      <w:color w:val="800080"/>
      <w:u w:val="none"/>
    </w:rPr>
  </w:style>
  <w:style w:type="character" w:styleId="30">
    <w:name w:val="Emphasis"/>
    <w:basedOn w:val="27"/>
    <w:autoRedefine/>
    <w:qFormat/>
    <w:uiPriority w:val="20"/>
    <w:rPr>
      <w:b/>
      <w:bCs/>
    </w:rPr>
  </w:style>
  <w:style w:type="character" w:styleId="31">
    <w:name w:val="HTML Definition"/>
    <w:basedOn w:val="27"/>
    <w:autoRedefine/>
    <w:semiHidden/>
    <w:unhideWhenUsed/>
    <w:qFormat/>
    <w:uiPriority w:val="99"/>
  </w:style>
  <w:style w:type="character" w:styleId="32">
    <w:name w:val="HTML Typewriter"/>
    <w:basedOn w:val="27"/>
    <w:autoRedefine/>
    <w:semiHidden/>
    <w:unhideWhenUsed/>
    <w:qFormat/>
    <w:uiPriority w:val="99"/>
    <w:rPr>
      <w:rFonts w:hint="default" w:ascii="monospace" w:hAnsi="monospace" w:eastAsia="monospace" w:cs="monospace"/>
      <w:sz w:val="20"/>
    </w:rPr>
  </w:style>
  <w:style w:type="character" w:styleId="33">
    <w:name w:val="HTML Acronym"/>
    <w:basedOn w:val="27"/>
    <w:autoRedefine/>
    <w:semiHidden/>
    <w:unhideWhenUsed/>
    <w:qFormat/>
    <w:uiPriority w:val="99"/>
  </w:style>
  <w:style w:type="character" w:styleId="34">
    <w:name w:val="HTML Variable"/>
    <w:basedOn w:val="27"/>
    <w:autoRedefine/>
    <w:semiHidden/>
    <w:unhideWhenUsed/>
    <w:qFormat/>
    <w:uiPriority w:val="99"/>
  </w:style>
  <w:style w:type="character" w:styleId="35">
    <w:name w:val="Hyperlink"/>
    <w:basedOn w:val="27"/>
    <w:autoRedefine/>
    <w:unhideWhenUsed/>
    <w:qFormat/>
    <w:uiPriority w:val="99"/>
    <w:rPr>
      <w:color w:val="0000FF" w:themeColor="hyperlink"/>
      <w:u w:val="single"/>
      <w14:textFill>
        <w14:solidFill>
          <w14:schemeClr w14:val="hlink"/>
        </w14:solidFill>
      </w14:textFill>
    </w:rPr>
  </w:style>
  <w:style w:type="character" w:styleId="36">
    <w:name w:val="HTML Code"/>
    <w:basedOn w:val="27"/>
    <w:autoRedefine/>
    <w:semiHidden/>
    <w:unhideWhenUsed/>
    <w:qFormat/>
    <w:uiPriority w:val="99"/>
    <w:rPr>
      <w:rFonts w:ascii="monospace" w:hAnsi="monospace" w:eastAsia="monospace" w:cs="monospace"/>
      <w:sz w:val="20"/>
    </w:rPr>
  </w:style>
  <w:style w:type="character" w:styleId="37">
    <w:name w:val="HTML Cite"/>
    <w:basedOn w:val="27"/>
    <w:autoRedefine/>
    <w:semiHidden/>
    <w:unhideWhenUsed/>
    <w:qFormat/>
    <w:uiPriority w:val="99"/>
  </w:style>
  <w:style w:type="character" w:styleId="38">
    <w:name w:val="HTML Keyboard"/>
    <w:basedOn w:val="27"/>
    <w:autoRedefine/>
    <w:semiHidden/>
    <w:unhideWhenUsed/>
    <w:qFormat/>
    <w:uiPriority w:val="99"/>
    <w:rPr>
      <w:rFonts w:hint="default" w:ascii="monospace" w:hAnsi="monospace" w:eastAsia="monospace" w:cs="monospace"/>
      <w:sz w:val="20"/>
    </w:rPr>
  </w:style>
  <w:style w:type="character" w:styleId="39">
    <w:name w:val="HTML Sample"/>
    <w:basedOn w:val="27"/>
    <w:autoRedefine/>
    <w:semiHidden/>
    <w:unhideWhenUsed/>
    <w:qFormat/>
    <w:uiPriority w:val="99"/>
    <w:rPr>
      <w:rFonts w:hint="default" w:ascii="monospace" w:hAnsi="monospace" w:eastAsia="monospace" w:cs="monospace"/>
    </w:rPr>
  </w:style>
  <w:style w:type="character" w:customStyle="1" w:styleId="40">
    <w:name w:val="批注框文本 字符"/>
    <w:basedOn w:val="27"/>
    <w:link w:val="15"/>
    <w:autoRedefine/>
    <w:semiHidden/>
    <w:qFormat/>
    <w:uiPriority w:val="99"/>
    <w:rPr>
      <w:rFonts w:ascii="@仿宋_GB2312" w:hAnsi="@仿宋_GB2312" w:eastAsia="@仿宋_GB2312" w:cs="@仿宋_GB2312"/>
      <w:sz w:val="18"/>
      <w:szCs w:val="18"/>
    </w:rPr>
  </w:style>
  <w:style w:type="paragraph" w:customStyle="1" w:styleId="41">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2">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3">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4">
    <w:name w:val="页眉 字符"/>
    <w:basedOn w:val="27"/>
    <w:link w:val="17"/>
    <w:autoRedefine/>
    <w:qFormat/>
    <w:uiPriority w:val="0"/>
    <w:rPr>
      <w:rFonts w:ascii="@仿宋_GB2312" w:hAnsi="@仿宋_GB2312" w:eastAsia="@仿宋_GB2312" w:cs="@仿宋_GB2312"/>
      <w:sz w:val="18"/>
      <w:szCs w:val="18"/>
    </w:rPr>
  </w:style>
  <w:style w:type="character" w:customStyle="1" w:styleId="45">
    <w:name w:val="页脚 字符"/>
    <w:basedOn w:val="27"/>
    <w:link w:val="16"/>
    <w:autoRedefine/>
    <w:qFormat/>
    <w:uiPriority w:val="99"/>
    <w:rPr>
      <w:rFonts w:ascii="@仿宋_GB2312" w:hAnsi="@仿宋_GB2312" w:eastAsia="@仿宋_GB2312" w:cs="@仿宋_GB2312"/>
      <w:sz w:val="18"/>
      <w:szCs w:val="18"/>
    </w:rPr>
  </w:style>
  <w:style w:type="character" w:customStyle="1" w:styleId="46">
    <w:name w:val="纯文本 字符"/>
    <w:link w:val="12"/>
    <w:autoRedefine/>
    <w:qFormat/>
    <w:uiPriority w:val="0"/>
    <w:rPr>
      <w:rFonts w:ascii="宋体" w:hAnsi="Courier New"/>
    </w:rPr>
  </w:style>
  <w:style w:type="character" w:customStyle="1" w:styleId="47">
    <w:name w:val="纯文本 字符1"/>
    <w:basedOn w:val="27"/>
    <w:autoRedefine/>
    <w:semiHidden/>
    <w:qFormat/>
    <w:uiPriority w:val="99"/>
    <w:rPr>
      <w:rFonts w:hAnsi="Courier New" w:cs="Courier New" w:asciiTheme="minorEastAsia"/>
      <w:szCs w:val="20"/>
    </w:rPr>
  </w:style>
  <w:style w:type="character" w:customStyle="1" w:styleId="48">
    <w:name w:val="未处理的提及1"/>
    <w:basedOn w:val="27"/>
    <w:autoRedefine/>
    <w:semiHidden/>
    <w:unhideWhenUsed/>
    <w:qFormat/>
    <w:uiPriority w:val="99"/>
    <w:rPr>
      <w:color w:val="605E5C"/>
      <w:shd w:val="clear" w:color="auto" w:fill="E1DFDD"/>
    </w:rPr>
  </w:style>
  <w:style w:type="paragraph" w:styleId="49">
    <w:name w:val="List Paragraph"/>
    <w:basedOn w:val="1"/>
    <w:autoRedefine/>
    <w:qFormat/>
    <w:uiPriority w:val="34"/>
    <w:pPr>
      <w:ind w:firstLine="420" w:firstLineChars="200"/>
    </w:pPr>
  </w:style>
  <w:style w:type="paragraph" w:customStyle="1" w:styleId="50">
    <w:name w:val="Char Char Char Char Char Char Char1 Char"/>
    <w:basedOn w:val="1"/>
    <w:autoRedefine/>
    <w:qFormat/>
    <w:uiPriority w:val="0"/>
    <w:rPr>
      <w:rFonts w:ascii="Arial" w:hAnsi="Arial" w:eastAsia="宋体" w:cs="Arial"/>
      <w:sz w:val="24"/>
    </w:rPr>
  </w:style>
  <w:style w:type="table" w:customStyle="1" w:styleId="51">
    <w:name w:val="网格表 1 浅色1"/>
    <w:basedOn w:val="2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2">
    <w:name w:val="日期 字符"/>
    <w:basedOn w:val="27"/>
    <w:autoRedefine/>
    <w:semiHidden/>
    <w:qFormat/>
    <w:uiPriority w:val="99"/>
    <w:rPr>
      <w:rFonts w:ascii="@仿宋_GB2312" w:hAnsi="@仿宋_GB2312" w:eastAsia="@仿宋_GB2312" w:cs="@仿宋_GB2312"/>
      <w:szCs w:val="20"/>
    </w:rPr>
  </w:style>
  <w:style w:type="character" w:customStyle="1" w:styleId="53">
    <w:name w:val="日期 字符1"/>
    <w:link w:val="13"/>
    <w:autoRedefine/>
    <w:qFormat/>
    <w:uiPriority w:val="0"/>
    <w:rPr>
      <w:rFonts w:ascii="Arial" w:hAnsi="Arial" w:eastAsia="宋体" w:cs="Arial"/>
      <w:b/>
      <w:sz w:val="28"/>
      <w:szCs w:val="20"/>
    </w:rPr>
  </w:style>
  <w:style w:type="character" w:customStyle="1" w:styleId="54">
    <w:name w:val="纯文本 Char1"/>
    <w:link w:val="55"/>
    <w:autoRedefine/>
    <w:qFormat/>
    <w:locked/>
    <w:uiPriority w:val="0"/>
    <w:rPr>
      <w:rFonts w:ascii="Arial" w:hAnsi="Arial" w:eastAsia="Arial"/>
      <w:kern w:val="2"/>
      <w:sz w:val="21"/>
      <w:lang w:val="en-US" w:eastAsia="zh-CN" w:bidi="ar-SA"/>
    </w:rPr>
  </w:style>
  <w:style w:type="paragraph" w:customStyle="1" w:styleId="55">
    <w:name w:val="纯文本1"/>
    <w:basedOn w:val="1"/>
    <w:link w:val="54"/>
    <w:autoRedefine/>
    <w:qFormat/>
    <w:uiPriority w:val="0"/>
    <w:rPr>
      <w:rFonts w:ascii="Arial" w:hAnsi="Arial" w:eastAsia="Arial" w:cstheme="minorBidi"/>
    </w:rPr>
  </w:style>
  <w:style w:type="character" w:customStyle="1" w:styleId="56">
    <w:name w:val="批注文字 Char"/>
    <w:basedOn w:val="27"/>
    <w:autoRedefine/>
    <w:semiHidden/>
    <w:qFormat/>
    <w:uiPriority w:val="99"/>
    <w:rPr>
      <w:rFonts w:ascii="@仿宋_GB2312" w:hAnsi="@仿宋_GB2312" w:eastAsia="@仿宋_GB2312" w:cs="@仿宋_GB2312"/>
      <w:szCs w:val="20"/>
    </w:rPr>
  </w:style>
  <w:style w:type="character" w:customStyle="1" w:styleId="57">
    <w:name w:val="批注文字 字符"/>
    <w:link w:val="7"/>
    <w:autoRedefine/>
    <w:qFormat/>
    <w:uiPriority w:val="0"/>
    <w:rPr>
      <w:rFonts w:ascii="Arial" w:hAnsi="Arial" w:eastAsia="黑体" w:cs="Arial"/>
      <w:szCs w:val="20"/>
    </w:rPr>
  </w:style>
  <w:style w:type="character" w:customStyle="1" w:styleId="58">
    <w:name w:val="标题 1 字符"/>
    <w:basedOn w:val="27"/>
    <w:link w:val="3"/>
    <w:autoRedefine/>
    <w:qFormat/>
    <w:uiPriority w:val="9"/>
    <w:rPr>
      <w:rFonts w:ascii="@仿宋_GB2312" w:hAnsi="@仿宋_GB2312" w:eastAsia="@仿宋_GB2312" w:cs="@仿宋_GB2312"/>
      <w:b/>
      <w:bCs/>
      <w:kern w:val="44"/>
      <w:sz w:val="44"/>
      <w:szCs w:val="44"/>
    </w:rPr>
  </w:style>
  <w:style w:type="paragraph" w:customStyle="1" w:styleId="59">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0">
    <w:name w:val="标题 3 字符"/>
    <w:basedOn w:val="27"/>
    <w:link w:val="5"/>
    <w:autoRedefine/>
    <w:semiHidden/>
    <w:qFormat/>
    <w:uiPriority w:val="9"/>
    <w:rPr>
      <w:rFonts w:ascii="@仿宋_GB2312" w:hAnsi="@仿宋_GB2312" w:eastAsia="@仿宋_GB2312" w:cs="@仿宋_GB2312"/>
      <w:b/>
      <w:bCs/>
      <w:sz w:val="32"/>
      <w:szCs w:val="32"/>
    </w:rPr>
  </w:style>
  <w:style w:type="character" w:customStyle="1" w:styleId="61">
    <w:name w:val="fontstyle01"/>
    <w:basedOn w:val="27"/>
    <w:autoRedefine/>
    <w:qFormat/>
    <w:uiPriority w:val="0"/>
    <w:rPr>
      <w:rFonts w:hint="eastAsia" w:ascii="宋体" w:hAnsi="宋体" w:eastAsia="宋体"/>
      <w:color w:val="000000"/>
      <w:sz w:val="22"/>
      <w:szCs w:val="22"/>
    </w:rPr>
  </w:style>
  <w:style w:type="character" w:customStyle="1" w:styleId="62">
    <w:name w:val="fontstyle21"/>
    <w:basedOn w:val="27"/>
    <w:autoRedefine/>
    <w:qFormat/>
    <w:uiPriority w:val="0"/>
    <w:rPr>
      <w:rFonts w:hint="default" w:ascii="TimesNewRomanPSMT" w:hAnsi="TimesNewRomanPSMT"/>
      <w:color w:val="000000"/>
      <w:sz w:val="22"/>
      <w:szCs w:val="22"/>
    </w:rPr>
  </w:style>
  <w:style w:type="character" w:customStyle="1" w:styleId="63">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4">
    <w:name w:val="标题 4 字符"/>
    <w:basedOn w:val="27"/>
    <w:autoRedefine/>
    <w:semiHidden/>
    <w:qFormat/>
    <w:uiPriority w:val="9"/>
    <w:rPr>
      <w:rFonts w:asciiTheme="majorHAnsi" w:hAnsiTheme="majorHAnsi" w:eastAsiaTheme="majorEastAsia" w:cstheme="majorBidi"/>
      <w:b/>
      <w:bCs/>
      <w:sz w:val="28"/>
      <w:szCs w:val="28"/>
    </w:rPr>
  </w:style>
  <w:style w:type="character" w:customStyle="1" w:styleId="65">
    <w:name w:val="标题 4 字符1"/>
    <w:link w:val="2"/>
    <w:autoRedefine/>
    <w:qFormat/>
    <w:uiPriority w:val="0"/>
    <w:rPr>
      <w:rFonts w:ascii="@仿宋_GB2312" w:hAnsi="@仿宋_GB2312" w:eastAsia="@仿宋_GB2312" w:cs="@仿宋_GB2312"/>
      <w:b/>
      <w:bCs/>
      <w:sz w:val="28"/>
      <w:szCs w:val="28"/>
    </w:rPr>
  </w:style>
  <w:style w:type="character" w:customStyle="1" w:styleId="66">
    <w:name w:val="正文文本 字符"/>
    <w:basedOn w:val="27"/>
    <w:link w:val="8"/>
    <w:autoRedefine/>
    <w:qFormat/>
    <w:uiPriority w:val="0"/>
    <w:rPr>
      <w:rFonts w:ascii="@微软简标宋" w:hAnsi="@微软简标宋" w:eastAsia="@微软简标宋" w:cs="@微软简标宋"/>
      <w:szCs w:val="24"/>
      <w:lang w:val="zh-CN" w:eastAsia="zh-CN"/>
    </w:rPr>
  </w:style>
  <w:style w:type="table" w:customStyle="1" w:styleId="67">
    <w:name w:val="网格型1"/>
    <w:basedOn w:val="25"/>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Table Normal"/>
    <w:autoRedefine/>
    <w:semiHidden/>
    <w:unhideWhenUsed/>
    <w:qFormat/>
    <w:uiPriority w:val="0"/>
    <w:tblPr>
      <w:tblCellMar>
        <w:top w:w="0" w:type="dxa"/>
        <w:left w:w="0" w:type="dxa"/>
        <w:bottom w:w="0" w:type="dxa"/>
        <w:right w:w="0" w:type="dxa"/>
      </w:tblCellMar>
    </w:tblPr>
  </w:style>
  <w:style w:type="paragraph" w:customStyle="1" w:styleId="69">
    <w:name w:val="Table Text"/>
    <w:basedOn w:val="1"/>
    <w:autoRedefine/>
    <w:semiHidden/>
    <w:qFormat/>
    <w:uiPriority w:val="0"/>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58</Pages>
  <Words>3539</Words>
  <Characters>3988</Characters>
  <Lines>234</Lines>
  <Paragraphs>65</Paragraphs>
  <TotalTime>1</TotalTime>
  <ScaleCrop>false</ScaleCrop>
  <LinksUpToDate>false</LinksUpToDate>
  <CharactersWithSpaces>4118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2025-01-08T08:29:00Z</dcterms:created>
  <dc:creator>Anakin</dc:creator>
  <cp:lastModifiedBy>不懂²</cp:lastModifiedBy>
  <cp:lastPrinted>2019-12-07T15:20:00Z</cp:lastPrinted>
  <dcterms:modified xsi:type="dcterms:W3CDTF">2025-01-13T03:11:52Z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686BDDD406314AE287F3751587D509FE_13</vt:lpwstr>
  </property>
  <property fmtid="{D5CDD505-2E9C-101B-9397-08002B2CF9AE}" pid="4" name="KSOTemplateDocerSaveRecord">
    <vt:lpwstr>eyJoZGlkIjoiOGVlZTc2Yzk1NjA2NjBkYTBjYzIzMTU4ZjY3YzIzYTEiLCJ1c2VySWQiOiIyNjIwNzMzMDEifQ==</vt:lpwstr>
  </property>
</Properties>
</file>