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rPr>
          <w:b/>
          <w:color w:val="000000" w:themeColor="text1"/>
          <w:sz w:val="52"/>
          <w14:textFill>
            <w14:solidFill>
              <w14:schemeClr w14:val="tx1"/>
            </w14:solidFill>
          </w14:textFill>
        </w:rPr>
      </w:pPr>
    </w:p>
    <w:p>
      <w:pPr>
        <w:jc w:val="center"/>
        <w:rPr>
          <w:rFonts w:hint="eastAsia" w:eastAsia="宋体"/>
          <w:color w:val="000000" w:themeColor="text1"/>
          <w:sz w:val="32"/>
          <w:szCs w:val="32"/>
          <w:lang w:eastAsia="zh-CN"/>
          <w14:textFill>
            <w14:solidFill>
              <w14:schemeClr w14:val="tx1"/>
            </w14:solidFill>
          </w14:textFill>
        </w:rPr>
      </w:pPr>
      <w:bookmarkStart w:id="497" w:name="_GoBack"/>
      <w:r>
        <w:rPr>
          <w:rFonts w:hint="eastAsia"/>
          <w:b/>
          <w:bCs/>
          <w:color w:val="000000" w:themeColor="text1"/>
          <w:sz w:val="32"/>
          <w:szCs w:val="32"/>
          <w:u w:val="single"/>
          <w:lang w:eastAsia="zh-CN"/>
          <w14:textFill>
            <w14:solidFill>
              <w14:schemeClr w14:val="tx1"/>
            </w14:solidFill>
          </w14:textFill>
        </w:rPr>
        <w:t>和谐佳苑专用配电室维修项目</w:t>
      </w:r>
    </w:p>
    <w:bookmarkEnd w:id="497"/>
    <w:p>
      <w:pPr>
        <w:jc w:val="center"/>
        <w:rPr>
          <w:color w:val="000000" w:themeColor="text1"/>
          <w:sz w:val="32"/>
          <w:szCs w:val="32"/>
          <w14:textFill>
            <w14:solidFill>
              <w14:schemeClr w14:val="tx1"/>
            </w14:solidFill>
          </w14:textFill>
        </w:rPr>
      </w:pPr>
    </w:p>
    <w:p>
      <w:pPr>
        <w:jc w:val="center"/>
        <w:rPr>
          <w:rFonts w:hint="eastAsia"/>
          <w:color w:val="000000" w:themeColor="text1"/>
          <w:sz w:val="32"/>
          <w:szCs w:val="32"/>
          <w14:textFill>
            <w14:solidFill>
              <w14:schemeClr w14:val="tx1"/>
            </w14:solidFill>
          </w14:textFill>
        </w:rPr>
      </w:pPr>
    </w:p>
    <w:p>
      <w:pPr>
        <w:jc w:val="center"/>
        <w:rPr>
          <w:rFonts w:hint="eastAsia"/>
          <w:color w:val="000000" w:themeColor="text1"/>
          <w:sz w:val="32"/>
          <w:szCs w:val="32"/>
          <w14:textFill>
            <w14:solidFill>
              <w14:schemeClr w14:val="tx1"/>
            </w14:solidFill>
          </w14:textFill>
        </w:rPr>
      </w:pPr>
    </w:p>
    <w:p>
      <w:pPr>
        <w:pStyle w:val="33"/>
        <w:rPr>
          <w:rFonts w:hint="eastAsia"/>
          <w:color w:val="000000" w:themeColor="text1"/>
          <w14:textFill>
            <w14:solidFill>
              <w14:schemeClr w14:val="tx1"/>
            </w14:solidFill>
          </w14:textFill>
        </w:rPr>
      </w:pPr>
    </w:p>
    <w:p>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谈判文件</w:t>
      </w:r>
    </w:p>
    <w:p>
      <w:pPr>
        <w:pStyle w:val="33"/>
        <w:rPr>
          <w:color w:val="000000" w:themeColor="text1"/>
          <w14:textFill>
            <w14:solidFill>
              <w14:schemeClr w14:val="tx1"/>
            </w14:solidFill>
          </w14:textFill>
        </w:rPr>
      </w:pPr>
    </w:p>
    <w:p>
      <w:pPr>
        <w:rPr>
          <w:b/>
          <w:color w:val="000000" w:themeColor="text1"/>
          <w:sz w:val="32"/>
          <w:szCs w:val="32"/>
          <w14:textFill>
            <w14:solidFill>
              <w14:schemeClr w14:val="tx1"/>
            </w14:solidFill>
          </w14:textFill>
        </w:rPr>
      </w:pPr>
    </w:p>
    <w:p>
      <w:pPr>
        <w:rPr>
          <w:b/>
          <w:color w:val="000000" w:themeColor="text1"/>
          <w:sz w:val="32"/>
          <w:szCs w:val="32"/>
          <w14:textFill>
            <w14:solidFill>
              <w14:schemeClr w14:val="tx1"/>
            </w14:solidFill>
          </w14:textFill>
        </w:rPr>
      </w:pPr>
    </w:p>
    <w:p>
      <w:pPr>
        <w:jc w:val="center"/>
        <w:rPr>
          <w:rFonts w:hint="default" w:eastAsia="宋体"/>
          <w:color w:val="000000" w:themeColor="text1"/>
          <w:sz w:val="32"/>
          <w:szCs w:val="32"/>
          <w:lang w:val="en-US" w:eastAsia="zh-CN"/>
          <w14:textFill>
            <w14:solidFill>
              <w14:schemeClr w14:val="tx1"/>
            </w14:solidFill>
          </w14:textFill>
        </w:rPr>
      </w:pPr>
      <w:r>
        <w:rPr>
          <w:rFonts w:hint="eastAsia"/>
          <w:b/>
          <w:color w:val="000000" w:themeColor="text1"/>
          <w:sz w:val="32"/>
          <w:szCs w:val="32"/>
          <w14:textFill>
            <w14:solidFill>
              <w14:schemeClr w14:val="tx1"/>
            </w14:solidFill>
          </w14:textFill>
        </w:rPr>
        <w:t>项目编号：</w:t>
      </w:r>
      <w:r>
        <w:rPr>
          <w:rFonts w:hint="eastAsia"/>
          <w:b/>
          <w:color w:val="000000" w:themeColor="text1"/>
          <w:sz w:val="32"/>
          <w:szCs w:val="32"/>
          <w:u w:val="single"/>
          <w:lang w:eastAsia="zh-CN"/>
          <w14:textFill>
            <w14:solidFill>
              <w14:schemeClr w14:val="tx1"/>
            </w14:solidFill>
          </w14:textFill>
        </w:rPr>
        <w:t>FYTC-ZZCZ-2024-127</w:t>
      </w: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rPr>
          <w:rFonts w:hint="eastAsia" w:eastAsia="宋体"/>
          <w:color w:val="000000" w:themeColor="text1"/>
          <w:sz w:val="32"/>
          <w:szCs w:val="32"/>
          <w:lang w:eastAsia="zh-CN"/>
          <w14:textFill>
            <w14:solidFill>
              <w14:schemeClr w14:val="tx1"/>
            </w14:solidFill>
          </w14:textFill>
        </w:rPr>
      </w:pPr>
      <w:r>
        <w:rPr>
          <w:rFonts w:hint="eastAsia"/>
          <w:b/>
          <w:color w:val="000000" w:themeColor="text1"/>
          <w:sz w:val="32"/>
          <w:szCs w:val="32"/>
          <w14:textFill>
            <w14:solidFill>
              <w14:schemeClr w14:val="tx1"/>
            </w14:solidFill>
          </w14:textFill>
        </w:rPr>
        <w:t xml:space="preserve">        采   购  人：</w:t>
      </w:r>
      <w:r>
        <w:rPr>
          <w:rFonts w:hint="eastAsia"/>
          <w:b/>
          <w:color w:val="000000" w:themeColor="text1"/>
          <w:sz w:val="32"/>
          <w:szCs w:val="32"/>
          <w:u w:val="single"/>
          <w:lang w:eastAsia="zh-CN"/>
          <w14:textFill>
            <w14:solidFill>
              <w14:schemeClr w14:val="tx1"/>
            </w14:solidFill>
          </w14:textFill>
        </w:rPr>
        <w:t>阜阳市城市资产投资经营有限责任公司</w:t>
      </w:r>
    </w:p>
    <w:p>
      <w:pPr>
        <w:spacing w:line="440" w:lineRule="exact"/>
        <w:ind w:right="44" w:rightChars="20"/>
        <w:rPr>
          <w:rFonts w:cs="Arial"/>
          <w:b/>
          <w:color w:val="000000" w:themeColor="text1"/>
          <w:sz w:val="32"/>
          <w:szCs w:val="32"/>
          <w14:textFill>
            <w14:solidFill>
              <w14:schemeClr w14:val="tx1"/>
            </w14:solidFill>
          </w14:textFill>
        </w:rPr>
      </w:pPr>
    </w:p>
    <w:p>
      <w:pPr>
        <w:rPr>
          <w:b/>
          <w:color w:val="000000" w:themeColor="text1"/>
          <w:sz w:val="32"/>
          <w:szCs w:val="32"/>
          <w:lang w:val="en-US"/>
          <w14:textFill>
            <w14:solidFill>
              <w14:schemeClr w14:val="tx1"/>
            </w14:solidFill>
          </w14:textFill>
        </w:rPr>
      </w:pPr>
    </w:p>
    <w:p>
      <w:pPr>
        <w:rPr>
          <w:b/>
          <w:color w:val="000000" w:themeColor="text1"/>
          <w:sz w:val="32"/>
          <w:szCs w:val="32"/>
          <w14:textFill>
            <w14:solidFill>
              <w14:schemeClr w14:val="tx1"/>
            </w14:solidFill>
          </w14:textFill>
        </w:rPr>
      </w:pPr>
    </w:p>
    <w:p>
      <w:pPr>
        <w:rPr>
          <w:b/>
          <w:color w:val="000000" w:themeColor="text1"/>
          <w:sz w:val="32"/>
          <w:szCs w:val="32"/>
          <w14:textFill>
            <w14:solidFill>
              <w14:schemeClr w14:val="tx1"/>
            </w14:solidFill>
          </w14:textFill>
        </w:rPr>
      </w:pPr>
    </w:p>
    <w:p>
      <w:pPr>
        <w:rPr>
          <w:b/>
          <w:color w:val="000000" w:themeColor="text1"/>
          <w:sz w:val="32"/>
          <w:szCs w:val="32"/>
          <w:u w:val="single"/>
          <w14:textFill>
            <w14:solidFill>
              <w14:schemeClr w14:val="tx1"/>
            </w14:solidFill>
          </w14:textFill>
        </w:rPr>
      </w:pPr>
    </w:p>
    <w:p>
      <w:pPr>
        <w:spacing w:line="440" w:lineRule="exact"/>
        <w:ind w:right="44" w:rightChars="20"/>
        <w:jc w:val="center"/>
        <w:rPr>
          <w:rFonts w:cs="Arial"/>
          <w:b/>
          <w:color w:val="000000" w:themeColor="text1"/>
          <w:sz w:val="32"/>
          <w:szCs w:val="32"/>
          <w14:textFill>
            <w14:solidFill>
              <w14:schemeClr w14:val="tx1"/>
            </w14:solidFill>
          </w14:textFill>
        </w:rPr>
      </w:pPr>
    </w:p>
    <w:p>
      <w:pPr>
        <w:spacing w:line="440" w:lineRule="exact"/>
        <w:ind w:right="44" w:rightChars="20"/>
        <w:jc w:val="center"/>
        <w:rPr>
          <w:rFonts w:cs="Arial"/>
          <w:b/>
          <w:color w:val="000000" w:themeColor="text1"/>
          <w:sz w:val="32"/>
          <w:szCs w:val="32"/>
          <w14:textFill>
            <w14:solidFill>
              <w14:schemeClr w14:val="tx1"/>
            </w14:solidFill>
          </w14:textFill>
        </w:rPr>
      </w:pPr>
    </w:p>
    <w:p>
      <w:pPr>
        <w:spacing w:line="440" w:lineRule="exact"/>
        <w:ind w:right="44" w:rightChars="20"/>
        <w:jc w:val="center"/>
        <w:rPr>
          <w:rFonts w:cs="Arial"/>
          <w:b/>
          <w:color w:val="000000" w:themeColor="text1"/>
          <w:sz w:val="32"/>
          <w:szCs w:val="32"/>
          <w14:textFill>
            <w14:solidFill>
              <w14:schemeClr w14:val="tx1"/>
            </w14:solidFill>
          </w14:textFill>
        </w:rPr>
      </w:pPr>
      <w:r>
        <w:rPr>
          <w:rFonts w:hint="eastAsia" w:cs="Arial"/>
          <w:b/>
          <w:color w:val="000000" w:themeColor="text1"/>
          <w:sz w:val="32"/>
          <w:szCs w:val="32"/>
          <w14:textFill>
            <w14:solidFill>
              <w14:schemeClr w14:val="tx1"/>
            </w14:solidFill>
          </w14:textFill>
        </w:rPr>
        <w:t>202</w:t>
      </w:r>
      <w:r>
        <w:rPr>
          <w:rFonts w:hint="eastAsia" w:cs="Arial"/>
          <w:b/>
          <w:color w:val="000000" w:themeColor="text1"/>
          <w:sz w:val="32"/>
          <w:szCs w:val="32"/>
          <w:lang w:val="en-US" w:eastAsia="zh-CN"/>
          <w14:textFill>
            <w14:solidFill>
              <w14:schemeClr w14:val="tx1"/>
            </w14:solidFill>
          </w14:textFill>
        </w:rPr>
        <w:t>4</w:t>
      </w:r>
      <w:r>
        <w:rPr>
          <w:rFonts w:hint="eastAsia" w:cs="Arial"/>
          <w:b/>
          <w:color w:val="000000" w:themeColor="text1"/>
          <w:sz w:val="32"/>
          <w:szCs w:val="32"/>
          <w14:textFill>
            <w14:solidFill>
              <w14:schemeClr w14:val="tx1"/>
            </w14:solidFill>
          </w14:textFill>
        </w:rPr>
        <w:t>年</w:t>
      </w:r>
      <w:r>
        <w:rPr>
          <w:rFonts w:hint="eastAsia" w:cs="Arial"/>
          <w:b/>
          <w:color w:val="000000" w:themeColor="text1"/>
          <w:sz w:val="32"/>
          <w:szCs w:val="32"/>
          <w:lang w:val="en-US" w:eastAsia="zh-CN"/>
          <w14:textFill>
            <w14:solidFill>
              <w14:schemeClr w14:val="tx1"/>
            </w14:solidFill>
          </w14:textFill>
        </w:rPr>
        <w:t>12</w:t>
      </w:r>
      <w:r>
        <w:rPr>
          <w:rFonts w:cs="Arial"/>
          <w:b/>
          <w:color w:val="000000" w:themeColor="text1"/>
          <w:sz w:val="32"/>
          <w:szCs w:val="32"/>
          <w14:textFill>
            <w14:solidFill>
              <w14:schemeClr w14:val="tx1"/>
            </w14:solidFill>
          </w14:textFill>
        </w:rPr>
        <w:t>月</w:t>
      </w:r>
      <w:r>
        <w:rPr>
          <w:rFonts w:hint="eastAsia" w:cs="Arial"/>
          <w:b/>
          <w:color w:val="000000" w:themeColor="text1"/>
          <w:sz w:val="32"/>
          <w:szCs w:val="32"/>
          <w14:textFill>
            <w14:solidFill>
              <w14:schemeClr w14:val="tx1"/>
            </w14:solidFill>
          </w14:textFill>
        </w:rPr>
        <w:t xml:space="preserve"> </w:t>
      </w:r>
    </w:p>
    <w:p>
      <w:pPr>
        <w:ind w:left="1647" w:right="2071"/>
        <w:jc w:val="center"/>
        <w:rPr>
          <w:b/>
          <w:color w:val="000000" w:themeColor="text1"/>
          <w:sz w:val="32"/>
          <w:szCs w:val="32"/>
          <w14:textFill>
            <w14:solidFill>
              <w14:schemeClr w14:val="tx1"/>
            </w14:solidFill>
          </w14:textFill>
        </w:rPr>
      </w:pPr>
    </w:p>
    <w:p>
      <w:pPr>
        <w:widowControl/>
        <w:autoSpaceDE/>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br w:type="page"/>
      </w:r>
    </w:p>
    <w:p>
      <w:pPr>
        <w:tabs>
          <w:tab w:val="left" w:pos="563"/>
        </w:tabs>
        <w:spacing w:before="840" w:after="240" w:afterLines="100"/>
        <w:ind w:right="130"/>
        <w:jc w:val="center"/>
        <w:rPr>
          <w:b/>
          <w:color w:val="000000" w:themeColor="text1"/>
          <w:sz w:val="32"/>
          <w:szCs w:val="24"/>
          <w14:textFill>
            <w14:solidFill>
              <w14:schemeClr w14:val="tx1"/>
            </w14:solidFill>
          </w14:textFill>
        </w:rPr>
      </w:pPr>
      <w:r>
        <w:rPr>
          <w:rFonts w:hint="eastAsia"/>
          <w:b/>
          <w:color w:val="000000" w:themeColor="text1"/>
          <w:sz w:val="32"/>
          <w:szCs w:val="24"/>
          <w14:textFill>
            <w14:solidFill>
              <w14:schemeClr w14:val="tx1"/>
            </w14:solidFill>
          </w14:textFill>
        </w:rPr>
        <w:t>目</w:t>
      </w:r>
      <w:r>
        <w:rPr>
          <w:rFonts w:hint="eastAsia"/>
          <w:b/>
          <w:color w:val="000000" w:themeColor="text1"/>
          <w:sz w:val="32"/>
          <w:szCs w:val="24"/>
          <w14:textFill>
            <w14:solidFill>
              <w14:schemeClr w14:val="tx1"/>
            </w14:solidFill>
          </w14:textFill>
        </w:rPr>
        <w:tab/>
      </w:r>
      <w:r>
        <w:rPr>
          <w:rFonts w:hint="eastAsia"/>
          <w:b/>
          <w:color w:val="000000" w:themeColor="text1"/>
          <w:sz w:val="32"/>
          <w:szCs w:val="24"/>
          <w14:textFill>
            <w14:solidFill>
              <w14:schemeClr w14:val="tx1"/>
            </w14:solidFill>
          </w14:textFill>
        </w:rPr>
        <w:t>录</w:t>
      </w:r>
    </w:p>
    <w:p>
      <w:pPr>
        <w:autoSpaceDE/>
        <w:spacing w:before="300" w:line="220" w:lineRule="exact"/>
        <w:ind w:left="220"/>
        <w:rPr>
          <w:b/>
          <w:color w:val="000000" w:themeColor="text1"/>
          <w:kern w:val="2"/>
          <w:sz w:val="24"/>
          <w:lang w:val="en-US" w:bidi="ar-SA"/>
          <w14:textFill>
            <w14:solidFill>
              <w14:schemeClr w14:val="tx1"/>
            </w14:solidFill>
          </w14:textFill>
        </w:rPr>
      </w:pPr>
      <w:r>
        <w:rPr>
          <w:rFonts w:hint="eastAsia"/>
          <w:b/>
          <w:color w:val="000000" w:themeColor="text1"/>
          <w:kern w:val="2"/>
          <w:sz w:val="24"/>
          <w:lang w:val="en-US" w:bidi="ar-SA"/>
          <w14:textFill>
            <w14:solidFill>
              <w14:schemeClr w14:val="tx1"/>
            </w14:solidFill>
          </w14:textFill>
        </w:rPr>
        <w:t>第一章</w:t>
      </w:r>
      <w:r>
        <w:rPr>
          <w:rFonts w:hint="eastAsia"/>
          <w:b/>
          <w:color w:val="000000" w:themeColor="text1"/>
          <w:kern w:val="2"/>
          <w:sz w:val="24"/>
          <w:lang w:val="en-US" w:bidi="ar-SA"/>
          <w14:textFill>
            <w14:solidFill>
              <w14:schemeClr w14:val="tx1"/>
            </w14:solidFill>
          </w14:textFill>
        </w:rPr>
        <w:tab/>
      </w:r>
      <w:r>
        <w:rPr>
          <w:rFonts w:hint="eastAsia"/>
          <w:b/>
          <w:color w:val="000000" w:themeColor="text1"/>
          <w:kern w:val="2"/>
          <w:sz w:val="24"/>
          <w:lang w:val="en-US" w:bidi="ar-SA"/>
          <w14:textFill>
            <w14:solidFill>
              <w14:schemeClr w14:val="tx1"/>
            </w14:solidFill>
          </w14:textFill>
        </w:rPr>
        <w:t>谈判公告</w:t>
      </w:r>
      <w:r>
        <w:rPr>
          <w:rFonts w:hint="eastAsia" w:cs="Times New Roman"/>
          <w:b/>
          <w:color w:val="000000" w:themeColor="text1"/>
          <w14:textFill>
            <w14:solidFill>
              <w14:schemeClr w14:val="tx1"/>
            </w14:solidFill>
          </w14:textFill>
        </w:rPr>
        <w:t>....................................................</w:t>
      </w:r>
      <w:r>
        <w:rPr>
          <w:rFonts w:hint="eastAsia"/>
          <w:b/>
          <w:color w:val="000000" w:themeColor="text1"/>
          <w:kern w:val="2"/>
          <w:sz w:val="24"/>
          <w:lang w:val="en-US" w:bidi="ar-SA"/>
          <w14:textFill>
            <w14:solidFill>
              <w14:schemeClr w14:val="tx1"/>
            </w14:solidFill>
          </w14:textFill>
        </w:rPr>
        <w:tab/>
      </w:r>
      <w:r>
        <w:rPr>
          <w:rFonts w:hint="eastAsia"/>
          <w:b/>
          <w:color w:val="000000" w:themeColor="text1"/>
          <w:kern w:val="2"/>
          <w:sz w:val="24"/>
          <w:lang w:val="en-US" w:bidi="ar-SA"/>
          <w14:textFill>
            <w14:solidFill>
              <w14:schemeClr w14:val="tx1"/>
            </w14:solidFill>
          </w14:textFill>
        </w:rPr>
        <w:t xml:space="preserve"> </w:t>
      </w:r>
    </w:p>
    <w:p>
      <w:pPr>
        <w:autoSpaceDE/>
        <w:spacing w:before="300" w:line="220" w:lineRule="exact"/>
        <w:ind w:left="220"/>
        <w:rPr>
          <w:b/>
          <w:color w:val="000000" w:themeColor="text1"/>
          <w:kern w:val="2"/>
          <w:sz w:val="24"/>
          <w:lang w:val="en-US" w:bidi="ar-SA"/>
          <w14:textFill>
            <w14:solidFill>
              <w14:schemeClr w14:val="tx1"/>
            </w14:solidFill>
          </w14:textFill>
        </w:rPr>
      </w:pPr>
      <w:r>
        <w:rPr>
          <w:rFonts w:hint="eastAsia"/>
          <w:b/>
          <w:color w:val="000000" w:themeColor="text1"/>
          <w:kern w:val="2"/>
          <w:sz w:val="24"/>
          <w:lang w:val="en-US" w:bidi="ar-SA"/>
          <w14:textFill>
            <w14:solidFill>
              <w14:schemeClr w14:val="tx1"/>
            </w14:solidFill>
          </w14:textFill>
        </w:rPr>
        <w:t>第二章</w:t>
      </w:r>
      <w:r>
        <w:rPr>
          <w:rFonts w:hint="eastAsia"/>
          <w:b/>
          <w:color w:val="000000" w:themeColor="text1"/>
          <w:kern w:val="2"/>
          <w:sz w:val="24"/>
          <w:lang w:val="en-US" w:bidi="ar-SA"/>
          <w14:textFill>
            <w14:solidFill>
              <w14:schemeClr w14:val="tx1"/>
            </w14:solidFill>
          </w14:textFill>
        </w:rPr>
        <w:tab/>
      </w:r>
      <w:r>
        <w:rPr>
          <w:rFonts w:hint="eastAsia"/>
          <w:b/>
          <w:color w:val="000000" w:themeColor="text1"/>
          <w:kern w:val="2"/>
          <w:sz w:val="24"/>
          <w:lang w:val="en-US" w:bidi="ar-SA"/>
          <w14:textFill>
            <w14:solidFill>
              <w14:schemeClr w14:val="tx1"/>
            </w14:solidFill>
          </w14:textFill>
        </w:rPr>
        <w:t>供应商须知</w:t>
      </w:r>
      <w:r>
        <w:rPr>
          <w:rFonts w:hint="eastAsia"/>
          <w:b/>
          <w:color w:val="000000" w:themeColor="text1"/>
          <w:kern w:val="2"/>
          <w:sz w:val="24"/>
          <w:lang w:val="en-US" w:bidi="ar-SA"/>
          <w14:textFill>
            <w14:solidFill>
              <w14:schemeClr w14:val="tx1"/>
            </w14:solidFill>
          </w14:textFill>
        </w:rPr>
        <w:tab/>
      </w:r>
      <w:r>
        <w:rPr>
          <w:rFonts w:hint="eastAsia" w:cs="Times New Roman"/>
          <w:b/>
          <w:color w:val="000000" w:themeColor="text1"/>
          <w14:textFill>
            <w14:solidFill>
              <w14:schemeClr w14:val="tx1"/>
            </w14:solidFill>
          </w14:textFill>
        </w:rPr>
        <w:t>....................................................</w:t>
      </w:r>
      <w:r>
        <w:rPr>
          <w:rFonts w:hint="eastAsia"/>
          <w:b/>
          <w:color w:val="000000" w:themeColor="text1"/>
          <w:kern w:val="2"/>
          <w:sz w:val="24"/>
          <w:lang w:val="en-US" w:bidi="ar-SA"/>
          <w14:textFill>
            <w14:solidFill>
              <w14:schemeClr w14:val="tx1"/>
            </w14:solidFill>
          </w14:textFill>
        </w:rPr>
        <w:t xml:space="preserve"> </w:t>
      </w:r>
    </w:p>
    <w:p>
      <w:pPr>
        <w:autoSpaceDE/>
        <w:spacing w:before="300" w:line="220" w:lineRule="exact"/>
        <w:ind w:left="220"/>
        <w:rPr>
          <w:b/>
          <w:color w:val="000000" w:themeColor="text1"/>
          <w:kern w:val="2"/>
          <w:sz w:val="24"/>
          <w:lang w:val="en-US" w:bidi="ar-SA"/>
          <w14:textFill>
            <w14:solidFill>
              <w14:schemeClr w14:val="tx1"/>
            </w14:solidFill>
          </w14:textFill>
        </w:rPr>
      </w:pPr>
      <w:r>
        <w:rPr>
          <w:rFonts w:hint="eastAsia"/>
          <w:b/>
          <w:color w:val="000000" w:themeColor="text1"/>
          <w:kern w:val="2"/>
          <w:sz w:val="24"/>
          <w:lang w:val="en-US" w:bidi="ar-SA"/>
          <w14:textFill>
            <w14:solidFill>
              <w14:schemeClr w14:val="tx1"/>
            </w14:solidFill>
          </w14:textFill>
        </w:rPr>
        <w:t>第三章</w:t>
      </w:r>
      <w:r>
        <w:rPr>
          <w:rFonts w:hint="eastAsia"/>
          <w:b/>
          <w:color w:val="000000" w:themeColor="text1"/>
          <w:kern w:val="2"/>
          <w:sz w:val="24"/>
          <w:lang w:val="en-US" w:bidi="ar-SA"/>
          <w14:textFill>
            <w14:solidFill>
              <w14:schemeClr w14:val="tx1"/>
            </w14:solidFill>
          </w14:textFill>
        </w:rPr>
        <w:tab/>
      </w:r>
      <w:r>
        <w:rPr>
          <w:rFonts w:hint="eastAsia"/>
          <w:b/>
          <w:color w:val="000000" w:themeColor="text1"/>
          <w:kern w:val="2"/>
          <w:sz w:val="24"/>
          <w:lang w:val="en-US" w:bidi="ar-SA"/>
          <w14:textFill>
            <w14:solidFill>
              <w14:schemeClr w14:val="tx1"/>
            </w14:solidFill>
          </w14:textFill>
        </w:rPr>
        <w:t>采购需求</w:t>
      </w:r>
      <w:r>
        <w:rPr>
          <w:rFonts w:hint="eastAsia" w:cs="Times New Roman"/>
          <w:b/>
          <w:color w:val="000000" w:themeColor="text1"/>
          <w14:textFill>
            <w14:solidFill>
              <w14:schemeClr w14:val="tx1"/>
            </w14:solidFill>
          </w14:textFill>
        </w:rPr>
        <w:t>....................................................</w:t>
      </w:r>
      <w:r>
        <w:rPr>
          <w:rFonts w:hint="eastAsia"/>
          <w:b/>
          <w:color w:val="000000" w:themeColor="text1"/>
          <w:kern w:val="2"/>
          <w:sz w:val="24"/>
          <w:lang w:val="en-US" w:bidi="ar-SA"/>
          <w14:textFill>
            <w14:solidFill>
              <w14:schemeClr w14:val="tx1"/>
            </w14:solidFill>
          </w14:textFill>
        </w:rPr>
        <w:tab/>
      </w:r>
      <w:r>
        <w:rPr>
          <w:rFonts w:hint="eastAsia"/>
          <w:b/>
          <w:color w:val="000000" w:themeColor="text1"/>
          <w:kern w:val="2"/>
          <w:sz w:val="24"/>
          <w:lang w:val="en-US" w:bidi="ar-SA"/>
          <w14:textFill>
            <w14:solidFill>
              <w14:schemeClr w14:val="tx1"/>
            </w14:solidFill>
          </w14:textFill>
        </w:rPr>
        <w:t xml:space="preserve"> </w:t>
      </w:r>
    </w:p>
    <w:p>
      <w:pPr>
        <w:autoSpaceDE/>
        <w:spacing w:before="300" w:line="220" w:lineRule="exact"/>
        <w:ind w:left="220"/>
        <w:rPr>
          <w:b/>
          <w:color w:val="000000" w:themeColor="text1"/>
          <w:kern w:val="2"/>
          <w:sz w:val="24"/>
          <w:lang w:val="en-US" w:bidi="ar-SA"/>
          <w14:textFill>
            <w14:solidFill>
              <w14:schemeClr w14:val="tx1"/>
            </w14:solidFill>
          </w14:textFill>
        </w:rPr>
      </w:pPr>
      <w:r>
        <w:rPr>
          <w:rFonts w:hint="eastAsia"/>
          <w:b/>
          <w:color w:val="000000" w:themeColor="text1"/>
          <w:kern w:val="2"/>
          <w:sz w:val="24"/>
          <w:lang w:val="en-US" w:bidi="ar-SA"/>
          <w14:textFill>
            <w14:solidFill>
              <w14:schemeClr w14:val="tx1"/>
            </w14:solidFill>
          </w14:textFill>
        </w:rPr>
        <w:t>第四章</w:t>
      </w:r>
      <w:r>
        <w:rPr>
          <w:rFonts w:hint="eastAsia"/>
          <w:b/>
          <w:color w:val="000000" w:themeColor="text1"/>
          <w:kern w:val="2"/>
          <w:sz w:val="24"/>
          <w:lang w:val="en-US" w:bidi="ar-SA"/>
          <w14:textFill>
            <w14:solidFill>
              <w14:schemeClr w14:val="tx1"/>
            </w14:solidFill>
          </w14:textFill>
        </w:rPr>
        <w:tab/>
      </w:r>
      <w:r>
        <w:rPr>
          <w:rFonts w:hint="eastAsia"/>
          <w:b/>
          <w:color w:val="000000" w:themeColor="text1"/>
          <w:kern w:val="2"/>
          <w:sz w:val="24"/>
          <w:lang w:val="en-US" w:bidi="ar-SA"/>
          <w14:textFill>
            <w14:solidFill>
              <w14:schemeClr w14:val="tx1"/>
            </w14:solidFill>
          </w14:textFill>
        </w:rPr>
        <w:t>评审方法和标准</w:t>
      </w:r>
      <w:r>
        <w:rPr>
          <w:rFonts w:hint="eastAsia" w:cs="Times New Roman"/>
          <w:b/>
          <w:color w:val="000000" w:themeColor="text1"/>
          <w14:textFill>
            <w14:solidFill>
              <w14:schemeClr w14:val="tx1"/>
            </w14:solidFill>
          </w14:textFill>
        </w:rPr>
        <w:t>....................................................</w:t>
      </w:r>
      <w:r>
        <w:rPr>
          <w:rFonts w:hint="eastAsia"/>
          <w:b/>
          <w:color w:val="000000" w:themeColor="text1"/>
          <w:kern w:val="2"/>
          <w:sz w:val="24"/>
          <w:lang w:val="en-US" w:bidi="ar-SA"/>
          <w14:textFill>
            <w14:solidFill>
              <w14:schemeClr w14:val="tx1"/>
            </w14:solidFill>
          </w14:textFill>
        </w:rPr>
        <w:tab/>
      </w:r>
      <w:r>
        <w:rPr>
          <w:rFonts w:hint="eastAsia"/>
          <w:b/>
          <w:color w:val="000000" w:themeColor="text1"/>
          <w:kern w:val="2"/>
          <w:sz w:val="24"/>
          <w:lang w:val="en-US" w:bidi="ar-SA"/>
          <w14:textFill>
            <w14:solidFill>
              <w14:schemeClr w14:val="tx1"/>
            </w14:solidFill>
          </w14:textFill>
        </w:rPr>
        <w:t xml:space="preserve"> </w:t>
      </w:r>
    </w:p>
    <w:p>
      <w:pPr>
        <w:autoSpaceDE/>
        <w:spacing w:before="300" w:line="220" w:lineRule="exact"/>
        <w:ind w:left="220"/>
        <w:rPr>
          <w:b/>
          <w:color w:val="000000" w:themeColor="text1"/>
          <w:kern w:val="2"/>
          <w:sz w:val="24"/>
          <w:lang w:val="en-US" w:bidi="ar-SA"/>
          <w14:textFill>
            <w14:solidFill>
              <w14:schemeClr w14:val="tx1"/>
            </w14:solidFill>
          </w14:textFill>
        </w:rPr>
      </w:pPr>
      <w:r>
        <w:rPr>
          <w:rFonts w:hint="eastAsia"/>
          <w:b/>
          <w:color w:val="000000" w:themeColor="text1"/>
          <w:kern w:val="2"/>
          <w:sz w:val="24"/>
          <w:lang w:val="en-US" w:bidi="ar-SA"/>
          <w14:textFill>
            <w14:solidFill>
              <w14:schemeClr w14:val="tx1"/>
            </w14:solidFill>
          </w14:textFill>
        </w:rPr>
        <w:t>第五章</w:t>
      </w:r>
      <w:r>
        <w:rPr>
          <w:rFonts w:hint="eastAsia"/>
          <w:b/>
          <w:color w:val="000000" w:themeColor="text1"/>
          <w:kern w:val="2"/>
          <w:sz w:val="24"/>
          <w:lang w:val="en-US" w:bidi="ar-SA"/>
          <w14:textFill>
            <w14:solidFill>
              <w14:schemeClr w14:val="tx1"/>
            </w14:solidFill>
          </w14:textFill>
        </w:rPr>
        <w:tab/>
      </w:r>
      <w:r>
        <w:rPr>
          <w:rFonts w:hint="eastAsia"/>
          <w:b/>
          <w:color w:val="000000" w:themeColor="text1"/>
          <w:kern w:val="2"/>
          <w:sz w:val="24"/>
          <w:lang w:val="en-US" w:bidi="ar-SA"/>
          <w14:textFill>
            <w14:solidFill>
              <w14:schemeClr w14:val="tx1"/>
            </w14:solidFill>
          </w14:textFill>
        </w:rPr>
        <w:t>采购合同</w:t>
      </w:r>
      <w:r>
        <w:rPr>
          <w:rFonts w:hint="eastAsia" w:cs="Times New Roman"/>
          <w:b/>
          <w:color w:val="000000" w:themeColor="text1"/>
          <w14:textFill>
            <w14:solidFill>
              <w14:schemeClr w14:val="tx1"/>
            </w14:solidFill>
          </w14:textFill>
        </w:rPr>
        <w:t>....................................................</w:t>
      </w:r>
      <w:r>
        <w:rPr>
          <w:rFonts w:hint="eastAsia"/>
          <w:b/>
          <w:color w:val="000000" w:themeColor="text1"/>
          <w:kern w:val="2"/>
          <w:sz w:val="24"/>
          <w:lang w:val="en-US" w:bidi="ar-SA"/>
          <w14:textFill>
            <w14:solidFill>
              <w14:schemeClr w14:val="tx1"/>
            </w14:solidFill>
          </w14:textFill>
        </w:rPr>
        <w:tab/>
      </w:r>
      <w:r>
        <w:rPr>
          <w:rFonts w:hint="eastAsia"/>
          <w:b/>
          <w:color w:val="000000" w:themeColor="text1"/>
          <w:kern w:val="2"/>
          <w:sz w:val="24"/>
          <w:lang w:val="en-US" w:bidi="ar-SA"/>
          <w14:textFill>
            <w14:solidFill>
              <w14:schemeClr w14:val="tx1"/>
            </w14:solidFill>
          </w14:textFill>
        </w:rPr>
        <w:t xml:space="preserve"> </w:t>
      </w:r>
    </w:p>
    <w:p>
      <w:pPr>
        <w:autoSpaceDE/>
        <w:spacing w:before="300" w:line="220" w:lineRule="exact"/>
        <w:ind w:left="220"/>
        <w:rPr>
          <w:b/>
          <w:color w:val="000000" w:themeColor="text1"/>
          <w:kern w:val="2"/>
          <w:sz w:val="24"/>
          <w:lang w:val="en-US" w:bidi="ar-SA"/>
          <w14:textFill>
            <w14:solidFill>
              <w14:schemeClr w14:val="tx1"/>
            </w14:solidFill>
          </w14:textFill>
        </w:rPr>
      </w:pPr>
      <w:r>
        <w:rPr>
          <w:rFonts w:hint="eastAsia"/>
          <w:b/>
          <w:color w:val="000000" w:themeColor="text1"/>
          <w:kern w:val="2"/>
          <w:sz w:val="24"/>
          <w:lang w:val="en-US" w:bidi="ar-SA"/>
          <w14:textFill>
            <w14:solidFill>
              <w14:schemeClr w14:val="tx1"/>
            </w14:solidFill>
          </w14:textFill>
        </w:rPr>
        <w:t>第六章</w:t>
      </w:r>
      <w:r>
        <w:rPr>
          <w:rFonts w:hint="eastAsia"/>
          <w:b/>
          <w:color w:val="000000" w:themeColor="text1"/>
          <w:kern w:val="2"/>
          <w:sz w:val="24"/>
          <w:lang w:val="en-US" w:bidi="ar-SA"/>
          <w14:textFill>
            <w14:solidFill>
              <w14:schemeClr w14:val="tx1"/>
            </w14:solidFill>
          </w14:textFill>
        </w:rPr>
        <w:tab/>
      </w:r>
      <w:r>
        <w:rPr>
          <w:rFonts w:hint="eastAsia"/>
          <w:b/>
          <w:color w:val="000000" w:themeColor="text1"/>
          <w:kern w:val="2"/>
          <w:sz w:val="24"/>
          <w:lang w:val="en-US" w:bidi="ar-SA"/>
          <w14:textFill>
            <w14:solidFill>
              <w14:schemeClr w14:val="tx1"/>
            </w14:solidFill>
          </w14:textFill>
        </w:rPr>
        <w:t>响应文件格式</w:t>
      </w:r>
      <w:r>
        <w:rPr>
          <w:rFonts w:hint="eastAsia" w:cs="Times New Roman"/>
          <w:b/>
          <w:color w:val="000000" w:themeColor="text1"/>
          <w14:textFill>
            <w14:solidFill>
              <w14:schemeClr w14:val="tx1"/>
            </w14:solidFill>
          </w14:textFill>
        </w:rPr>
        <w:t>....................................................</w:t>
      </w:r>
      <w:r>
        <w:rPr>
          <w:rFonts w:hint="eastAsia"/>
          <w:b/>
          <w:color w:val="000000" w:themeColor="text1"/>
          <w:kern w:val="2"/>
          <w:sz w:val="24"/>
          <w:lang w:val="en-US" w:bidi="ar-SA"/>
          <w14:textFill>
            <w14:solidFill>
              <w14:schemeClr w14:val="tx1"/>
            </w14:solidFill>
          </w14:textFill>
        </w:rPr>
        <w:tab/>
      </w:r>
      <w:r>
        <w:rPr>
          <w:rFonts w:hint="eastAsia"/>
          <w:b/>
          <w:color w:val="000000" w:themeColor="text1"/>
          <w:kern w:val="2"/>
          <w:sz w:val="24"/>
          <w:lang w:val="en-US" w:bidi="ar-SA"/>
          <w14:textFill>
            <w14:solidFill>
              <w14:schemeClr w14:val="tx1"/>
            </w14:solidFill>
          </w14:textFill>
        </w:rPr>
        <w:t xml:space="preserve"> </w:t>
      </w:r>
    </w:p>
    <w:p>
      <w:pPr>
        <w:autoSpaceDE/>
        <w:spacing w:before="300" w:line="220" w:lineRule="exact"/>
        <w:ind w:left="220"/>
        <w:rPr>
          <w:b/>
          <w:color w:val="000000" w:themeColor="text1"/>
          <w:kern w:val="2"/>
          <w:sz w:val="24"/>
          <w:lang w:val="en-US" w:bidi="ar-SA"/>
          <w14:textFill>
            <w14:solidFill>
              <w14:schemeClr w14:val="tx1"/>
            </w14:solidFill>
          </w14:textFill>
        </w:rPr>
      </w:pPr>
    </w:p>
    <w:p>
      <w:pPr>
        <w:widowControl/>
        <w:autoSpaceDE/>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3"/>
        <w:tabs>
          <w:tab w:val="left" w:pos="0"/>
        </w:tabs>
        <w:adjustRightInd w:val="0"/>
        <w:spacing w:before="0" w:line="360" w:lineRule="auto"/>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第一章</w:t>
      </w:r>
      <w:r>
        <w:rPr>
          <w:rFonts w:hint="eastAsia"/>
          <w:color w:val="000000" w:themeColor="text1"/>
          <w:sz w:val="32"/>
          <w:szCs w:val="32"/>
          <w14:textFill>
            <w14:solidFill>
              <w14:schemeClr w14:val="tx1"/>
            </w14:solidFill>
          </w14:textFill>
        </w:rPr>
        <w:tab/>
      </w:r>
      <w:r>
        <w:rPr>
          <w:rFonts w:hint="eastAsia"/>
          <w:color w:val="000000" w:themeColor="text1"/>
          <w:sz w:val="32"/>
          <w:szCs w:val="32"/>
          <w14:textFill>
            <w14:solidFill>
              <w14:schemeClr w14:val="tx1"/>
            </w14:solidFill>
          </w14:textFill>
        </w:rPr>
        <w:t>谈判公告</w:t>
      </w:r>
    </w:p>
    <w:p>
      <w:pPr>
        <w:pBdr>
          <w:top w:val="single" w:color="auto" w:sz="4" w:space="1"/>
          <w:left w:val="single" w:color="auto" w:sz="4" w:space="4"/>
          <w:bottom w:val="single" w:color="auto" w:sz="4" w:space="1"/>
          <w:right w:val="single" w:color="auto" w:sz="4" w:space="4"/>
        </w:pBd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u w:val="single"/>
          <w:lang w:eastAsia="zh-CN"/>
          <w14:textFill>
            <w14:solidFill>
              <w14:schemeClr w14:val="tx1"/>
            </w14:solidFill>
          </w14:textFill>
        </w:rPr>
        <w:t>和谐佳苑专用配电室维修项目</w:t>
      </w:r>
      <w:r>
        <w:rPr>
          <w:rFonts w:hint="eastAsia"/>
          <w:color w:val="000000" w:themeColor="text1"/>
          <w:sz w:val="21"/>
          <w:szCs w:val="21"/>
          <w14:textFill>
            <w14:solidFill>
              <w14:schemeClr w14:val="tx1"/>
            </w14:solidFill>
          </w14:textFill>
        </w:rPr>
        <w:t>依据相关法律法规规定为：非依法必须招标的项目（自主采招项目）。采购项目的潜在供应商应在阜阳投资发展集团有限公司(http://fytfjt.com/)网站获取采购文件，并于</w:t>
      </w:r>
      <w:r>
        <w:rPr>
          <w:color w:val="000000" w:themeColor="text1"/>
          <w:sz w:val="21"/>
          <w:szCs w:val="21"/>
          <w:u w:val="single"/>
          <w14:textFill>
            <w14:solidFill>
              <w14:schemeClr w14:val="tx1"/>
            </w14:solidFill>
          </w14:textFill>
        </w:rPr>
        <w:t>202</w:t>
      </w:r>
      <w:r>
        <w:rPr>
          <w:rFonts w:hint="eastAsia"/>
          <w:color w:val="000000" w:themeColor="text1"/>
          <w:sz w:val="21"/>
          <w:szCs w:val="21"/>
          <w:u w:val="single"/>
          <w:lang w:val="en-US" w:eastAsia="zh-CN"/>
          <w14:textFill>
            <w14:solidFill>
              <w14:schemeClr w14:val="tx1"/>
            </w14:solidFill>
          </w14:textFill>
        </w:rPr>
        <w:t>4</w:t>
      </w:r>
      <w:r>
        <w:rPr>
          <w:rFonts w:hint="eastAsia"/>
          <w:bCs/>
          <w:color w:val="000000" w:themeColor="text1"/>
          <w:sz w:val="21"/>
          <w:szCs w:val="21"/>
          <w:u w:val="single"/>
          <w14:textFill>
            <w14:solidFill>
              <w14:schemeClr w14:val="tx1"/>
            </w14:solidFill>
          </w14:textFill>
        </w:rPr>
        <w:t>年</w:t>
      </w:r>
      <w:r>
        <w:rPr>
          <w:rFonts w:hint="eastAsia"/>
          <w:bCs/>
          <w:color w:val="000000" w:themeColor="text1"/>
          <w:sz w:val="21"/>
          <w:szCs w:val="21"/>
          <w:u w:val="single"/>
          <w:lang w:val="en-US" w:eastAsia="zh-CN"/>
          <w14:textFill>
            <w14:solidFill>
              <w14:schemeClr w14:val="tx1"/>
            </w14:solidFill>
          </w14:textFill>
        </w:rPr>
        <w:t>12月18日14点</w:t>
      </w:r>
      <w:r>
        <w:rPr>
          <w:bCs/>
          <w:color w:val="000000" w:themeColor="text1"/>
          <w:sz w:val="21"/>
          <w:szCs w:val="21"/>
          <w:u w:val="single"/>
          <w14:textFill>
            <w14:solidFill>
              <w14:schemeClr w14:val="tx1"/>
            </w14:solidFill>
          </w14:textFill>
        </w:rPr>
        <w:t>00</w:t>
      </w:r>
      <w:r>
        <w:rPr>
          <w:rFonts w:hint="eastAsia"/>
          <w:bCs/>
          <w:color w:val="000000" w:themeColor="text1"/>
          <w:sz w:val="21"/>
          <w:szCs w:val="21"/>
          <w:u w:val="single"/>
          <w14:textFill>
            <w14:solidFill>
              <w14:schemeClr w14:val="tx1"/>
            </w14:solidFill>
          </w14:textFill>
        </w:rPr>
        <w:t>分</w:t>
      </w:r>
      <w:r>
        <w:rPr>
          <w:rFonts w:hint="eastAsia"/>
          <w:bCs/>
          <w:color w:val="000000" w:themeColor="text1"/>
          <w:sz w:val="21"/>
          <w:szCs w:val="21"/>
          <w14:textFill>
            <w14:solidFill>
              <w14:schemeClr w14:val="tx1"/>
            </w14:solidFill>
          </w14:textFill>
        </w:rPr>
        <w:t>（北京时间）前提交响应文件</w:t>
      </w:r>
      <w:r>
        <w:rPr>
          <w:rFonts w:hint="eastAsia"/>
          <w:color w:val="000000" w:themeColor="text1"/>
          <w:sz w:val="21"/>
          <w:szCs w:val="21"/>
          <w14:textFill>
            <w14:solidFill>
              <w14:schemeClr w14:val="tx1"/>
            </w14:solidFill>
          </w14:textFill>
        </w:rPr>
        <w:t>。</w:t>
      </w:r>
    </w:p>
    <w:p>
      <w:pPr>
        <w:pStyle w:val="4"/>
        <w:keepNext/>
        <w:keepLines/>
        <w:autoSpaceDE/>
        <w:spacing w:before="260" w:after="260" w:line="360" w:lineRule="auto"/>
        <w:ind w:left="0" w:right="0"/>
        <w:jc w:val="both"/>
        <w:rPr>
          <w:b/>
          <w:i w:val="0"/>
          <w:color w:val="000000" w:themeColor="text1"/>
          <w:kern w:val="2"/>
          <w:sz w:val="21"/>
          <w:szCs w:val="21"/>
          <w:lang w:val="en-US" w:bidi="ar-SA"/>
          <w14:textFill>
            <w14:solidFill>
              <w14:schemeClr w14:val="tx1"/>
            </w14:solidFill>
          </w14:textFill>
        </w:rPr>
      </w:pPr>
      <w:bookmarkStart w:id="0" w:name="_Toc28359089"/>
      <w:bookmarkStart w:id="1" w:name="_Toc28359012"/>
      <w:bookmarkStart w:id="2" w:name="_Toc35393629"/>
      <w:bookmarkStart w:id="3" w:name="_Toc35393798"/>
      <w:r>
        <w:rPr>
          <w:rFonts w:hint="eastAsia"/>
          <w:b/>
          <w:i w:val="0"/>
          <w:color w:val="000000" w:themeColor="text1"/>
          <w:kern w:val="2"/>
          <w:sz w:val="21"/>
          <w:szCs w:val="21"/>
          <w:lang w:val="en-US" w:bidi="ar-SA"/>
          <w14:textFill>
            <w14:solidFill>
              <w14:schemeClr w14:val="tx1"/>
            </w14:solidFill>
          </w14:textFill>
        </w:rPr>
        <w:t>一、项目基本情况</w:t>
      </w:r>
      <w:bookmarkEnd w:id="0"/>
      <w:bookmarkEnd w:id="1"/>
      <w:bookmarkEnd w:id="2"/>
      <w:bookmarkEnd w:id="3"/>
    </w:p>
    <w:p>
      <w:pPr>
        <w:spacing w:line="360" w:lineRule="auto"/>
        <w:ind w:firstLine="420" w:firstLineChars="200"/>
        <w:rPr>
          <w:rFonts w:hint="default"/>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项目编号：</w:t>
      </w:r>
      <w:r>
        <w:rPr>
          <w:rFonts w:hint="eastAsia"/>
          <w:color w:val="000000" w:themeColor="text1"/>
          <w:sz w:val="21"/>
          <w:szCs w:val="21"/>
          <w:lang w:eastAsia="zh-CN"/>
          <w14:textFill>
            <w14:solidFill>
              <w14:schemeClr w14:val="tx1"/>
            </w14:solidFill>
          </w14:textFill>
        </w:rPr>
        <w:t>FYTC-ZZCZ-2024-127</w:t>
      </w:r>
    </w:p>
    <w:p>
      <w:pPr>
        <w:spacing w:line="360" w:lineRule="auto"/>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项目名称：</w:t>
      </w:r>
      <w:r>
        <w:rPr>
          <w:rFonts w:hint="eastAsia"/>
          <w:color w:val="000000" w:themeColor="text1"/>
          <w:sz w:val="21"/>
          <w:szCs w:val="21"/>
          <w:lang w:eastAsia="zh-CN"/>
          <w14:textFill>
            <w14:solidFill>
              <w14:schemeClr w14:val="tx1"/>
            </w14:solidFill>
          </w14:textFill>
        </w:rPr>
        <w:t>和谐佳苑专用配电室维修项目</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采购方式：谈判</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预算金额：293696</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 xml:space="preserve">54元  </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最高限价：293696.54元    </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采购需求：原专用配电室四台气体绝缘金属封闭高压柜拆除安装，400米高压电缆敷设，部分路面及绿化拆除及恢复，详见工程量清单</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最高限价成果文件</w:t>
      </w:r>
      <w:r>
        <w:rPr>
          <w:rFonts w:hint="eastAsia"/>
          <w:color w:val="000000" w:themeColor="text1"/>
          <w:sz w:val="21"/>
          <w:szCs w:val="21"/>
          <w14:textFill>
            <w14:solidFill>
              <w14:schemeClr w14:val="tx1"/>
            </w14:solidFill>
          </w14:textFill>
        </w:rPr>
        <w:t>及</w:t>
      </w:r>
      <w:r>
        <w:rPr>
          <w:rFonts w:hint="eastAsia"/>
          <w:color w:val="000000" w:themeColor="text1"/>
          <w:sz w:val="21"/>
          <w:szCs w:val="21"/>
          <w:lang w:val="en-US" w:eastAsia="zh-CN"/>
          <w14:textFill>
            <w14:solidFill>
              <w14:schemeClr w14:val="tx1"/>
            </w14:solidFill>
          </w14:textFill>
        </w:rPr>
        <w:t>采购</w:t>
      </w:r>
      <w:r>
        <w:rPr>
          <w:rFonts w:hint="eastAsia"/>
          <w:color w:val="000000" w:themeColor="text1"/>
          <w:sz w:val="21"/>
          <w:szCs w:val="21"/>
          <w14:textFill>
            <w14:solidFill>
              <w14:schemeClr w14:val="tx1"/>
            </w14:solidFill>
          </w14:textFill>
        </w:rPr>
        <w:t>文件。</w:t>
      </w:r>
    </w:p>
    <w:p>
      <w:pPr>
        <w:spacing w:line="360" w:lineRule="auto"/>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合同履行期限：自签订合同之日起</w:t>
      </w:r>
      <w:r>
        <w:rPr>
          <w:rFonts w:hint="eastAsia"/>
          <w:color w:val="000000" w:themeColor="text1"/>
          <w:sz w:val="21"/>
          <w:szCs w:val="21"/>
          <w:lang w:val="en-US" w:eastAsia="zh-CN"/>
          <w14:textFill>
            <w14:solidFill>
              <w14:schemeClr w14:val="tx1"/>
            </w14:solidFill>
          </w14:textFill>
        </w:rPr>
        <w:t>3</w:t>
      </w:r>
      <w:r>
        <w:rPr>
          <w:color w:val="000000" w:themeColor="text1"/>
          <w:sz w:val="21"/>
          <w:szCs w:val="21"/>
          <w14:textFill>
            <w14:solidFill>
              <w14:schemeClr w14:val="tx1"/>
            </w14:solidFill>
          </w14:textFill>
        </w:rPr>
        <w:t>日历天</w:t>
      </w:r>
      <w:r>
        <w:rPr>
          <w:rFonts w:hint="eastAsia"/>
          <w:color w:val="000000" w:themeColor="text1"/>
          <w:sz w:val="21"/>
          <w:szCs w:val="21"/>
          <w14:textFill>
            <w14:solidFill>
              <w14:schemeClr w14:val="tx1"/>
            </w14:solidFill>
          </w14:textFill>
        </w:rPr>
        <w:t>。</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w:t>
      </w:r>
      <w:r>
        <w:rPr>
          <w:rFonts w:hint="eastAsia"/>
          <w:color w:val="000000" w:themeColor="text1"/>
          <w:sz w:val="21"/>
          <w:szCs w:val="21"/>
          <w:lang w:val="en-US" w:eastAsia="zh-CN"/>
          <w14:textFill>
            <w14:solidFill>
              <w14:schemeClr w14:val="tx1"/>
            </w14:solidFill>
          </w14:textFill>
        </w:rPr>
        <w:t>是否</w:t>
      </w:r>
      <w:r>
        <w:rPr>
          <w:rFonts w:hint="eastAsia"/>
          <w:color w:val="000000" w:themeColor="text1"/>
          <w:sz w:val="21"/>
          <w:szCs w:val="21"/>
          <w14:textFill>
            <w14:solidFill>
              <w14:schemeClr w14:val="tx1"/>
            </w14:solidFill>
          </w14:textFill>
        </w:rPr>
        <w:t>接受联合体</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否</w:t>
      </w:r>
      <w:r>
        <w:rPr>
          <w:rFonts w:hint="eastAsia"/>
          <w:color w:val="000000" w:themeColor="text1"/>
          <w:sz w:val="21"/>
          <w:szCs w:val="21"/>
          <w14:textFill>
            <w14:solidFill>
              <w14:schemeClr w14:val="tx1"/>
            </w14:solidFill>
          </w14:textFill>
        </w:rPr>
        <w:t>。</w:t>
      </w:r>
    </w:p>
    <w:p>
      <w:pPr>
        <w:pStyle w:val="4"/>
        <w:keepNext/>
        <w:keepLines/>
        <w:autoSpaceDE/>
        <w:spacing w:before="260" w:after="260" w:line="360" w:lineRule="auto"/>
        <w:ind w:left="0" w:right="0"/>
        <w:jc w:val="both"/>
        <w:rPr>
          <w:b/>
          <w:i w:val="0"/>
          <w:color w:val="000000" w:themeColor="text1"/>
          <w:kern w:val="2"/>
          <w:sz w:val="21"/>
          <w:szCs w:val="21"/>
          <w:lang w:val="en-US" w:bidi="ar-SA"/>
          <w14:textFill>
            <w14:solidFill>
              <w14:schemeClr w14:val="tx1"/>
            </w14:solidFill>
          </w14:textFill>
        </w:rPr>
      </w:pPr>
      <w:bookmarkStart w:id="4" w:name="_Toc35393799"/>
      <w:bookmarkStart w:id="5" w:name="_Toc28359090"/>
      <w:bookmarkStart w:id="6" w:name="_Toc28359013"/>
      <w:bookmarkStart w:id="7" w:name="_Toc35393630"/>
      <w:r>
        <w:rPr>
          <w:rFonts w:hint="eastAsia"/>
          <w:b/>
          <w:i w:val="0"/>
          <w:color w:val="000000" w:themeColor="text1"/>
          <w:kern w:val="2"/>
          <w:sz w:val="21"/>
          <w:szCs w:val="21"/>
          <w:lang w:val="en-US" w:bidi="ar-SA"/>
          <w14:textFill>
            <w14:solidFill>
              <w14:schemeClr w14:val="tx1"/>
            </w14:solidFill>
          </w14:textFill>
        </w:rPr>
        <w:t>二、申请人的资格要求：</w:t>
      </w:r>
      <w:bookmarkEnd w:id="4"/>
      <w:bookmarkEnd w:id="5"/>
      <w:bookmarkEnd w:id="6"/>
      <w:bookmarkEnd w:id="7"/>
    </w:p>
    <w:p>
      <w:pPr>
        <w:spacing w:line="360" w:lineRule="auto"/>
        <w:ind w:firstLine="420" w:firstLineChars="200"/>
        <w:rPr>
          <w:color w:val="000000" w:themeColor="text1"/>
          <w:sz w:val="21"/>
          <w:szCs w:val="21"/>
          <w:u w:val="single"/>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1.</w:t>
      </w:r>
      <w:r>
        <w:rPr>
          <w:rFonts w:hint="eastAsia"/>
          <w:color w:val="000000" w:themeColor="text1"/>
          <w:sz w:val="21"/>
          <w:szCs w:val="21"/>
          <w14:textFill>
            <w14:solidFill>
              <w14:schemeClr w14:val="tx1"/>
            </w14:solidFill>
          </w14:textFill>
        </w:rPr>
        <w:t>本项目的特定资格要求：</w:t>
      </w:r>
      <w:r>
        <w:rPr>
          <w:rFonts w:hint="eastAsia"/>
          <w:color w:val="000000" w:themeColor="text1"/>
          <w:sz w:val="21"/>
          <w:szCs w:val="21"/>
          <w:u w:val="single"/>
          <w14:textFill>
            <w14:solidFill>
              <w14:schemeClr w14:val="tx1"/>
            </w14:solidFill>
          </w14:textFill>
        </w:rPr>
        <w:t>要求投标人须具有输变电工程专业承包叁级及以上资质，同时具有五级及以上承装（修、试）电力设施许可证 资质，并在人员、设备、资金等方面具有相应的施工能力。</w:t>
      </w:r>
    </w:p>
    <w:p>
      <w:pPr>
        <w:spacing w:line="360" w:lineRule="auto"/>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lang w:val="en-US"/>
          <w14:textFill>
            <w14:solidFill>
              <w14:schemeClr w14:val="tx1"/>
            </w14:solidFill>
          </w14:textFill>
        </w:rPr>
        <w:t>2</w:t>
      </w:r>
      <w:r>
        <w:rPr>
          <w:rFonts w:hint="eastAsia"/>
          <w:color w:val="000000" w:themeColor="text1"/>
          <w:sz w:val="21"/>
          <w:szCs w:val="21"/>
          <w14:textFill>
            <w14:solidFill>
              <w14:schemeClr w14:val="tx1"/>
            </w14:solidFill>
          </w14:textFill>
        </w:rPr>
        <w:t>、项目负责人具有：</w:t>
      </w:r>
      <w:r>
        <w:rPr>
          <w:rFonts w:hint="eastAsia"/>
          <w:color w:val="000000" w:themeColor="text1"/>
          <w:sz w:val="21"/>
          <w:szCs w:val="21"/>
          <w:u w:val="single"/>
          <w14:textFill>
            <w14:solidFill>
              <w14:schemeClr w14:val="tx1"/>
            </w14:solidFill>
          </w14:textFill>
        </w:rPr>
        <w:t xml:space="preserve">具备机电工程专业二级及以上注册建造师执业资格、有效的安全生产考核合格证书（建安B证）。（注：本项目拟任项目经理、技术负责人、及本项目委托代理人须提供自招标公告发布之日起本单位为其缴纳的近 </w:t>
      </w:r>
      <w:r>
        <w:rPr>
          <w:rFonts w:hint="eastAsia"/>
          <w:color w:val="000000" w:themeColor="text1"/>
          <w:sz w:val="21"/>
          <w:szCs w:val="21"/>
          <w:u w:val="single"/>
          <w:lang w:val="en-US"/>
          <w14:textFill>
            <w14:solidFill>
              <w14:schemeClr w14:val="tx1"/>
            </w14:solidFill>
          </w14:textFill>
        </w:rPr>
        <w:t>1</w:t>
      </w:r>
      <w:r>
        <w:rPr>
          <w:rFonts w:hint="eastAsia"/>
          <w:color w:val="000000" w:themeColor="text1"/>
          <w:sz w:val="21"/>
          <w:szCs w:val="21"/>
          <w:u w:val="single"/>
          <w14:textFill>
            <w14:solidFill>
              <w14:schemeClr w14:val="tx1"/>
            </w14:solidFill>
          </w14:textFill>
        </w:rPr>
        <w:t xml:space="preserve"> 个月社保证明。</w:t>
      </w:r>
      <w:r>
        <w:rPr>
          <w:color w:val="000000" w:themeColor="text1"/>
          <w:sz w:val="21"/>
          <w:szCs w:val="21"/>
          <w:u w:val="single"/>
          <w14:textFill>
            <w14:solidFill>
              <w14:schemeClr w14:val="tx1"/>
            </w14:solidFill>
          </w14:textFill>
        </w:rPr>
        <w:t>）</w:t>
      </w:r>
    </w:p>
    <w:p>
      <w:pPr>
        <w:pStyle w:val="4"/>
        <w:keepNext/>
        <w:keepLines/>
        <w:autoSpaceDE/>
        <w:spacing w:before="260" w:after="260" w:line="360" w:lineRule="auto"/>
        <w:ind w:left="0" w:right="0"/>
        <w:jc w:val="both"/>
        <w:rPr>
          <w:b/>
          <w:i w:val="0"/>
          <w:color w:val="000000" w:themeColor="text1"/>
          <w:kern w:val="2"/>
          <w:sz w:val="21"/>
          <w:szCs w:val="21"/>
          <w:lang w:val="en-US" w:bidi="ar-SA"/>
          <w14:textFill>
            <w14:solidFill>
              <w14:schemeClr w14:val="tx1"/>
            </w14:solidFill>
          </w14:textFill>
        </w:rPr>
      </w:pPr>
      <w:bookmarkStart w:id="8" w:name="_Toc35393800"/>
      <w:bookmarkStart w:id="9" w:name="_Toc28359014"/>
      <w:bookmarkStart w:id="10" w:name="_Toc28359091"/>
      <w:bookmarkStart w:id="11" w:name="_Toc35393631"/>
      <w:r>
        <w:rPr>
          <w:rFonts w:hint="eastAsia"/>
          <w:b/>
          <w:i w:val="0"/>
          <w:color w:val="000000" w:themeColor="text1"/>
          <w:kern w:val="2"/>
          <w:sz w:val="21"/>
          <w:szCs w:val="21"/>
          <w:lang w:val="en-US" w:bidi="ar-SA"/>
          <w14:textFill>
            <w14:solidFill>
              <w14:schemeClr w14:val="tx1"/>
            </w14:solidFill>
          </w14:textFill>
        </w:rPr>
        <w:t>三、获取采购文件</w:t>
      </w:r>
      <w:bookmarkEnd w:id="8"/>
      <w:bookmarkEnd w:id="9"/>
      <w:bookmarkEnd w:id="10"/>
      <w:bookmarkEnd w:id="11"/>
    </w:p>
    <w:p>
      <w:pPr>
        <w:autoSpaceDE/>
        <w:adjustRightInd w:val="0"/>
        <w:snapToGrid w:val="0"/>
        <w:spacing w:line="360" w:lineRule="auto"/>
        <w:ind w:firstLine="420" w:firstLineChars="200"/>
        <w:rPr>
          <w:color w:val="000000" w:themeColor="text1"/>
          <w:sz w:val="21"/>
          <w:szCs w:val="21"/>
          <w:lang w:val="en-US"/>
          <w14:textFill>
            <w14:solidFill>
              <w14:schemeClr w14:val="tx1"/>
            </w14:solidFill>
          </w14:textFill>
        </w:rPr>
      </w:pPr>
      <w:bookmarkStart w:id="12" w:name="_Toc35393801"/>
      <w:bookmarkStart w:id="13" w:name="_Toc35393632"/>
      <w:bookmarkStart w:id="14" w:name="_Toc28359015"/>
      <w:bookmarkStart w:id="15" w:name="_Toc28359092"/>
      <w:r>
        <w:rPr>
          <w:rFonts w:hint="eastAsia"/>
          <w:color w:val="000000" w:themeColor="text1"/>
          <w:sz w:val="21"/>
          <w:szCs w:val="21"/>
          <w14:textFill>
            <w14:solidFill>
              <w14:schemeClr w14:val="tx1"/>
            </w14:solidFill>
          </w14:textFill>
        </w:rPr>
        <w:t>1.时间:</w:t>
      </w:r>
      <w:r>
        <w:rPr>
          <w:rFonts w:hint="eastAsia"/>
          <w:color w:val="000000" w:themeColor="text1"/>
          <w:sz w:val="21"/>
          <w:szCs w:val="21"/>
          <w:lang w:val="en-US"/>
          <w14:textFill>
            <w14:solidFill>
              <w14:schemeClr w14:val="tx1"/>
            </w14:solidFill>
          </w14:textFill>
        </w:rPr>
        <w:t xml:space="preserve"> </w:t>
      </w:r>
      <w:r>
        <w:rPr>
          <w:color w:val="000000" w:themeColor="text1"/>
          <w:sz w:val="21"/>
          <w:szCs w:val="21"/>
          <w14:textFill>
            <w14:solidFill>
              <w14:schemeClr w14:val="tx1"/>
            </w14:solidFill>
          </w14:textFill>
        </w:rPr>
        <w:t>202</w:t>
      </w: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年</w:t>
      </w:r>
      <w:r>
        <w:rPr>
          <w:rFonts w:hint="eastAsia"/>
          <w:color w:val="000000" w:themeColor="text1"/>
          <w:sz w:val="21"/>
          <w:szCs w:val="21"/>
          <w:lang w:val="en-US" w:eastAsia="zh-CN"/>
          <w14:textFill>
            <w14:solidFill>
              <w14:schemeClr w14:val="tx1"/>
            </w14:solidFill>
          </w14:textFill>
        </w:rPr>
        <w:t>12月18日14点</w:t>
      </w:r>
      <w:r>
        <w:rPr>
          <w:color w:val="000000" w:themeColor="text1"/>
          <w:sz w:val="21"/>
          <w:szCs w:val="21"/>
          <w:lang w:val="en-US"/>
          <w14:textFill>
            <w14:solidFill>
              <w14:schemeClr w14:val="tx1"/>
            </w14:solidFill>
          </w14:textFill>
        </w:rPr>
        <w:t>0</w:t>
      </w:r>
      <w:r>
        <w:rPr>
          <w:rFonts w:hint="eastAsia"/>
          <w:color w:val="000000" w:themeColor="text1"/>
          <w:sz w:val="21"/>
          <w:szCs w:val="21"/>
          <w:lang w:val="en-US"/>
          <w14:textFill>
            <w14:solidFill>
              <w14:schemeClr w14:val="tx1"/>
            </w14:solidFill>
          </w14:textFill>
        </w:rPr>
        <w:t>0分前（北京时间）</w:t>
      </w:r>
    </w:p>
    <w:p>
      <w:pPr>
        <w:autoSpaceDE/>
        <w:adjustRightInd w:val="0"/>
        <w:snapToGrid w:val="0"/>
        <w:spacing w:line="360" w:lineRule="auto"/>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w:t>
      </w:r>
      <w:r>
        <w:rPr>
          <w:rFonts w:hint="eastAsia"/>
          <w:color w:val="000000" w:themeColor="text1"/>
          <w:sz w:val="21"/>
          <w:szCs w:val="21"/>
          <w14:textFill>
            <w14:solidFill>
              <w14:schemeClr w14:val="tx1"/>
            </w14:solidFill>
          </w14:textFill>
        </w:rPr>
        <w:t>地点</w:t>
      </w:r>
      <w:r>
        <w:rPr>
          <w:rFonts w:hint="eastAsia"/>
          <w:color w:val="000000" w:themeColor="text1"/>
          <w:sz w:val="21"/>
          <w:szCs w:val="21"/>
          <w:lang w:val="en-US"/>
          <w14:textFill>
            <w14:solidFill>
              <w14:schemeClr w14:val="tx1"/>
            </w14:solidFill>
          </w14:textFill>
        </w:rPr>
        <w:t>：</w:t>
      </w:r>
      <w:r>
        <w:rPr>
          <w:rFonts w:hint="eastAsia"/>
          <w:color w:val="000000" w:themeColor="text1"/>
          <w:sz w:val="21"/>
          <w:szCs w:val="21"/>
          <w:lang w:eastAsia="zh-CN"/>
          <w14:textFill>
            <w14:solidFill>
              <w14:schemeClr w14:val="tx1"/>
            </w14:solidFill>
          </w14:textFill>
        </w:rPr>
        <w:t>阜阳投资发展集团有限公司(http://fytfjt.com/)</w:t>
      </w:r>
      <w:r>
        <w:rPr>
          <w:rFonts w:hint="eastAsia"/>
          <w:color w:val="000000" w:themeColor="text1"/>
          <w:sz w:val="21"/>
          <w:szCs w:val="21"/>
          <w14:textFill>
            <w14:solidFill>
              <w14:schemeClr w14:val="tx1"/>
            </w14:solidFill>
          </w14:textFill>
        </w:rPr>
        <w:t>网站</w:t>
      </w:r>
    </w:p>
    <w:p>
      <w:pPr>
        <w:autoSpaceDE/>
        <w:adjustRightInd w:val="0"/>
        <w:snapToGrid w:val="0"/>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3.方式：自行下载</w:t>
      </w:r>
    </w:p>
    <w:p>
      <w:pPr>
        <w:widowControl/>
        <w:shd w:val="clear" w:color="auto" w:fill="FFFFFF"/>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4.售价：免费</w:t>
      </w:r>
    </w:p>
    <w:p>
      <w:pPr>
        <w:pStyle w:val="4"/>
        <w:keepNext/>
        <w:keepLines/>
        <w:autoSpaceDE/>
        <w:spacing w:before="260" w:after="260" w:line="360" w:lineRule="auto"/>
        <w:ind w:left="0" w:right="0"/>
        <w:jc w:val="both"/>
        <w:rPr>
          <w:b/>
          <w:i w:val="0"/>
          <w:color w:val="000000" w:themeColor="text1"/>
          <w:kern w:val="2"/>
          <w:sz w:val="21"/>
          <w:szCs w:val="21"/>
          <w:lang w:val="en-US" w:bidi="ar-SA"/>
          <w14:textFill>
            <w14:solidFill>
              <w14:schemeClr w14:val="tx1"/>
            </w14:solidFill>
          </w14:textFill>
        </w:rPr>
      </w:pPr>
      <w:r>
        <w:rPr>
          <w:rFonts w:hint="eastAsia"/>
          <w:b/>
          <w:i w:val="0"/>
          <w:color w:val="000000" w:themeColor="text1"/>
          <w:kern w:val="2"/>
          <w:sz w:val="21"/>
          <w:szCs w:val="21"/>
          <w:lang w:val="en-US" w:bidi="ar-SA"/>
          <w14:textFill>
            <w14:solidFill>
              <w14:schemeClr w14:val="tx1"/>
            </w14:solidFill>
          </w14:textFill>
        </w:rPr>
        <w:t>四、响应文件提交</w:t>
      </w:r>
      <w:bookmarkEnd w:id="12"/>
      <w:bookmarkEnd w:id="13"/>
      <w:bookmarkEnd w:id="14"/>
      <w:bookmarkEnd w:id="15"/>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1.提交（上传）响应文件截止时间（开标时间）：</w:t>
      </w:r>
      <w:r>
        <w:rPr>
          <w:color w:val="000000" w:themeColor="text1"/>
          <w:sz w:val="21"/>
          <w:szCs w:val="21"/>
          <w14:textFill>
            <w14:solidFill>
              <w14:schemeClr w14:val="tx1"/>
            </w14:solidFill>
          </w14:textFill>
        </w:rPr>
        <w:t>202</w:t>
      </w: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年</w:t>
      </w:r>
      <w:r>
        <w:rPr>
          <w:rFonts w:hint="eastAsia"/>
          <w:color w:val="000000" w:themeColor="text1"/>
          <w:sz w:val="21"/>
          <w:szCs w:val="21"/>
          <w:lang w:val="en-US" w:eastAsia="zh-CN"/>
          <w14:textFill>
            <w14:solidFill>
              <w14:schemeClr w14:val="tx1"/>
            </w14:solidFill>
          </w14:textFill>
        </w:rPr>
        <w:t>12月18日14点</w:t>
      </w:r>
      <w:r>
        <w:rPr>
          <w:color w:val="000000" w:themeColor="text1"/>
          <w:sz w:val="21"/>
          <w:szCs w:val="21"/>
          <w14:textFill>
            <w14:solidFill>
              <w14:schemeClr w14:val="tx1"/>
            </w14:solidFill>
          </w14:textFill>
        </w:rPr>
        <w:t>00</w:t>
      </w:r>
      <w:r>
        <w:rPr>
          <w:rFonts w:hint="eastAsia"/>
          <w:color w:val="000000" w:themeColor="text1"/>
          <w:sz w:val="21"/>
          <w:szCs w:val="21"/>
          <w14:textFill>
            <w14:solidFill>
              <w14:schemeClr w14:val="tx1"/>
            </w14:solidFill>
          </w14:textFill>
        </w:rPr>
        <w:t>分。</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2.响应文件</w:t>
      </w:r>
      <w:r>
        <w:rPr>
          <w:rFonts w:hint="eastAsia"/>
          <w:color w:val="000000" w:themeColor="text1"/>
          <w:sz w:val="21"/>
          <w:szCs w:val="21"/>
          <w:lang w:val="en-US" w:eastAsia="zh-CN"/>
          <w14:textFill>
            <w14:solidFill>
              <w14:schemeClr w14:val="tx1"/>
            </w14:solidFill>
          </w14:textFill>
        </w:rPr>
        <w:t>开启</w:t>
      </w:r>
      <w:r>
        <w:rPr>
          <w:rFonts w:hint="eastAsia"/>
          <w:color w:val="000000" w:themeColor="text1"/>
          <w:sz w:val="21"/>
          <w:szCs w:val="21"/>
          <w14:textFill>
            <w14:solidFill>
              <w14:schemeClr w14:val="tx1"/>
            </w14:solidFill>
          </w14:textFill>
        </w:rPr>
        <w:t>地点：阜阳市同创投资咨询管理有限公司会议室（城南新区三清路666号阜阳市民中心二楼西北角8-2号厅）。</w:t>
      </w:r>
    </w:p>
    <w:p>
      <w:pPr>
        <w:spacing w:line="360" w:lineRule="auto"/>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3、响应文件的递交：采购人指定电子邮箱。（详见其他补充事宜）</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4、逾期未完成上传或未按规定</w:t>
      </w:r>
      <w:r>
        <w:rPr>
          <w:rFonts w:hint="eastAsia"/>
          <w:color w:val="000000" w:themeColor="text1"/>
          <w:sz w:val="21"/>
          <w:szCs w:val="21"/>
          <w:lang w:val="en-US" w:eastAsia="zh-CN"/>
          <w14:textFill>
            <w14:solidFill>
              <w14:schemeClr w14:val="tx1"/>
            </w14:solidFill>
          </w14:textFill>
        </w:rPr>
        <w:t>提交</w:t>
      </w:r>
      <w:r>
        <w:rPr>
          <w:rFonts w:hint="eastAsia"/>
          <w:color w:val="000000" w:themeColor="text1"/>
          <w:sz w:val="21"/>
          <w:szCs w:val="21"/>
          <w14:textFill>
            <w14:solidFill>
              <w14:schemeClr w14:val="tx1"/>
            </w14:solidFill>
          </w14:textFill>
        </w:rPr>
        <w:t>的响应文件，将拒绝接收并提示</w:t>
      </w:r>
      <w:r>
        <w:rPr>
          <w:rFonts w:hint="eastAsia"/>
          <w:color w:val="000000" w:themeColor="text1"/>
          <w:sz w:val="21"/>
          <w:szCs w:val="21"/>
          <w:lang w:val="en-US" w:bidi="ar-SA"/>
          <w14:textFill>
            <w14:solidFill>
              <w14:schemeClr w14:val="tx1"/>
            </w14:solidFill>
          </w14:textFill>
        </w:rPr>
        <w:t>。</w:t>
      </w:r>
    </w:p>
    <w:p>
      <w:pPr>
        <w:pStyle w:val="4"/>
        <w:keepNext/>
        <w:keepLines/>
        <w:autoSpaceDE/>
        <w:spacing w:before="260" w:after="260" w:line="360" w:lineRule="auto"/>
        <w:ind w:left="0" w:right="0"/>
        <w:jc w:val="both"/>
        <w:rPr>
          <w:b/>
          <w:i w:val="0"/>
          <w:color w:val="000000" w:themeColor="text1"/>
          <w:kern w:val="2"/>
          <w:sz w:val="21"/>
          <w:szCs w:val="21"/>
          <w:lang w:val="en-US" w:bidi="ar-SA"/>
          <w14:textFill>
            <w14:solidFill>
              <w14:schemeClr w14:val="tx1"/>
            </w14:solidFill>
          </w14:textFill>
        </w:rPr>
      </w:pPr>
      <w:bookmarkStart w:id="16" w:name="_Toc35393633"/>
      <w:bookmarkStart w:id="17" w:name="_Toc28359093"/>
      <w:bookmarkStart w:id="18" w:name="_Toc35393802"/>
      <w:bookmarkStart w:id="19" w:name="_Toc28359016"/>
      <w:r>
        <w:rPr>
          <w:rFonts w:hint="eastAsia"/>
          <w:b/>
          <w:i w:val="0"/>
          <w:color w:val="000000" w:themeColor="text1"/>
          <w:kern w:val="2"/>
          <w:sz w:val="21"/>
          <w:szCs w:val="21"/>
          <w:lang w:val="en-US" w:bidi="ar-SA"/>
          <w14:textFill>
            <w14:solidFill>
              <w14:schemeClr w14:val="tx1"/>
            </w14:solidFill>
          </w14:textFill>
        </w:rPr>
        <w:t>五、开启</w:t>
      </w:r>
      <w:bookmarkEnd w:id="16"/>
      <w:bookmarkEnd w:id="17"/>
      <w:bookmarkEnd w:id="18"/>
      <w:bookmarkEnd w:id="19"/>
    </w:p>
    <w:p>
      <w:pPr>
        <w:spacing w:line="360" w:lineRule="auto"/>
        <w:ind w:firstLine="420" w:firstLineChars="200"/>
        <w:rPr>
          <w:bCs/>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时间：同响应文件提交截止时间。</w:t>
      </w:r>
    </w:p>
    <w:p>
      <w:pPr>
        <w:autoSpaceDE/>
        <w:spacing w:line="360" w:lineRule="auto"/>
        <w:ind w:firstLine="420" w:firstLineChars="200"/>
        <w:jc w:val="both"/>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地点：</w:t>
      </w:r>
      <w:bookmarkStart w:id="20" w:name="_Toc35393634"/>
      <w:bookmarkStart w:id="21" w:name="_Toc35393803"/>
      <w:bookmarkStart w:id="22" w:name="_Toc28359017"/>
      <w:bookmarkStart w:id="23" w:name="_Toc28359094"/>
      <w:r>
        <w:rPr>
          <w:rFonts w:hint="eastAsia"/>
          <w:color w:val="000000" w:themeColor="text1"/>
          <w:sz w:val="21"/>
          <w:szCs w:val="21"/>
          <w14:textFill>
            <w14:solidFill>
              <w14:schemeClr w14:val="tx1"/>
            </w14:solidFill>
          </w14:textFill>
        </w:rPr>
        <w:t>同响应文件提交地点。</w:t>
      </w:r>
    </w:p>
    <w:p>
      <w:pPr>
        <w:pStyle w:val="4"/>
        <w:keepNext/>
        <w:keepLines/>
        <w:autoSpaceDE/>
        <w:spacing w:before="260" w:after="260" w:line="360" w:lineRule="auto"/>
        <w:ind w:left="0" w:right="0"/>
        <w:jc w:val="both"/>
        <w:rPr>
          <w:b/>
          <w:i w:val="0"/>
          <w:color w:val="000000" w:themeColor="text1"/>
          <w:kern w:val="2"/>
          <w:sz w:val="21"/>
          <w:szCs w:val="21"/>
          <w:lang w:val="en-US" w:bidi="ar-SA"/>
          <w14:textFill>
            <w14:solidFill>
              <w14:schemeClr w14:val="tx1"/>
            </w14:solidFill>
          </w14:textFill>
        </w:rPr>
      </w:pPr>
      <w:r>
        <w:rPr>
          <w:rFonts w:hint="eastAsia"/>
          <w:b/>
          <w:i w:val="0"/>
          <w:color w:val="000000" w:themeColor="text1"/>
          <w:kern w:val="2"/>
          <w:sz w:val="21"/>
          <w:szCs w:val="21"/>
          <w:lang w:val="en-US" w:bidi="ar-SA"/>
          <w14:textFill>
            <w14:solidFill>
              <w14:schemeClr w14:val="tx1"/>
            </w14:solidFill>
          </w14:textFill>
        </w:rPr>
        <w:t>六、公告期限</w:t>
      </w:r>
      <w:bookmarkEnd w:id="20"/>
      <w:bookmarkEnd w:id="21"/>
      <w:bookmarkEnd w:id="22"/>
      <w:bookmarkEnd w:id="23"/>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自本公告发布之日起3个工作日。</w:t>
      </w:r>
    </w:p>
    <w:p>
      <w:pPr>
        <w:pStyle w:val="4"/>
        <w:keepNext/>
        <w:keepLines/>
        <w:autoSpaceDE/>
        <w:spacing w:before="260" w:after="260" w:line="360" w:lineRule="auto"/>
        <w:ind w:left="0" w:right="0"/>
        <w:jc w:val="both"/>
        <w:rPr>
          <w:b/>
          <w:i w:val="0"/>
          <w:color w:val="000000" w:themeColor="text1"/>
          <w:kern w:val="2"/>
          <w:sz w:val="21"/>
          <w:szCs w:val="21"/>
          <w:lang w:val="en-US" w:bidi="ar-SA"/>
          <w14:textFill>
            <w14:solidFill>
              <w14:schemeClr w14:val="tx1"/>
            </w14:solidFill>
          </w14:textFill>
        </w:rPr>
      </w:pPr>
      <w:bookmarkStart w:id="24" w:name="_Toc35393804"/>
      <w:bookmarkStart w:id="25" w:name="_Toc35393635"/>
      <w:r>
        <w:rPr>
          <w:rFonts w:hint="eastAsia"/>
          <w:b/>
          <w:i w:val="0"/>
          <w:color w:val="000000" w:themeColor="text1"/>
          <w:kern w:val="2"/>
          <w:sz w:val="21"/>
          <w:szCs w:val="21"/>
          <w:lang w:val="en-US" w:bidi="ar-SA"/>
          <w14:textFill>
            <w14:solidFill>
              <w14:schemeClr w14:val="tx1"/>
            </w14:solidFill>
          </w14:textFill>
        </w:rPr>
        <w:t>七、其他补充事宜</w:t>
      </w:r>
      <w:bookmarkEnd w:id="24"/>
      <w:bookmarkEnd w:id="25"/>
    </w:p>
    <w:p>
      <w:pPr>
        <w:pStyle w:val="30"/>
        <w:keepNext w:val="0"/>
        <w:keepLines w:val="0"/>
        <w:widowControl/>
        <w:suppressLineNumbers w:val="0"/>
        <w:spacing w:line="360" w:lineRule="auto"/>
        <w:ind w:left="0" w:firstLine="420"/>
        <w:jc w:val="both"/>
        <w:rPr>
          <w:rFonts w:hint="eastAsia" w:ascii="宋体" w:hAnsi="宋体" w:eastAsia="宋体" w:cs="宋体"/>
          <w:color w:val="auto"/>
          <w:kern w:val="2"/>
          <w:sz w:val="22"/>
          <w:szCs w:val="22"/>
          <w:highlight w:val="none"/>
          <w:lang w:val="en-US" w:eastAsia="zh-CN" w:bidi="ar-SA"/>
        </w:rPr>
      </w:pPr>
      <w:bookmarkStart w:id="26" w:name="_Toc35393805"/>
      <w:bookmarkStart w:id="27" w:name="_Toc28359018"/>
      <w:bookmarkStart w:id="28" w:name="_Toc35393636"/>
      <w:bookmarkStart w:id="29" w:name="_Toc28359095"/>
      <w:r>
        <w:rPr>
          <w:rFonts w:hint="eastAsia" w:ascii="宋体" w:hAnsi="宋体" w:eastAsia="宋体" w:cs="宋体"/>
          <w:color w:val="auto"/>
          <w:kern w:val="2"/>
          <w:sz w:val="22"/>
          <w:szCs w:val="22"/>
          <w:highlight w:val="none"/>
          <w:lang w:val="en-US" w:eastAsia="zh-CN" w:bidi="ar-SA"/>
        </w:rPr>
        <w:t>1、本项目响应文件的递交方式现采用电子邮箱接收响应文件，不再进行现场递交。</w:t>
      </w:r>
    </w:p>
    <w:p>
      <w:pPr>
        <w:pStyle w:val="30"/>
        <w:keepNext w:val="0"/>
        <w:keepLines w:val="0"/>
        <w:widowControl/>
        <w:suppressLineNumbers w:val="0"/>
        <w:spacing w:line="360" w:lineRule="auto"/>
        <w:ind w:left="0" w:firstLine="42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具体办法如下：</w:t>
      </w:r>
    </w:p>
    <w:p>
      <w:pPr>
        <w:pStyle w:val="30"/>
        <w:keepNext w:val="0"/>
        <w:keepLines w:val="0"/>
        <w:widowControl/>
        <w:suppressLineNumbers w:val="0"/>
        <w:spacing w:line="360" w:lineRule="auto"/>
        <w:ind w:left="0" w:firstLine="42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（1）电子邮箱地址的获取方式：</w:t>
      </w:r>
    </w:p>
    <w:p>
      <w:pPr>
        <w:pStyle w:val="30"/>
        <w:keepNext w:val="0"/>
        <w:keepLines w:val="0"/>
        <w:widowControl/>
        <w:suppressLineNumbers w:val="0"/>
        <w:spacing w:line="360" w:lineRule="auto"/>
        <w:ind w:left="0" w:firstLine="42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响应截止时间前两小时内，采购代理机构工作人员在采购人、现场监督员（如有）共同见证下现场申请临时电子邮箱地址，并将电子邮箱地址及时发布在阜阳投资发展集团有限公司(http://www.fytfjt.com/)网站中。各潜在响应供应商应在响应截止时间前一小时随时关注该项目的更正（或补充）公告，及时获取电子邮箱地址。</w:t>
      </w:r>
    </w:p>
    <w:p>
      <w:pPr>
        <w:pStyle w:val="30"/>
        <w:keepNext w:val="0"/>
        <w:keepLines w:val="0"/>
        <w:widowControl/>
        <w:suppressLineNumbers w:val="0"/>
        <w:spacing w:line="360" w:lineRule="auto"/>
        <w:ind w:left="0" w:firstLine="42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（2）电子版响应文件的递交方式：</w:t>
      </w:r>
    </w:p>
    <w:p>
      <w:pPr>
        <w:pStyle w:val="30"/>
        <w:keepNext w:val="0"/>
        <w:keepLines w:val="0"/>
        <w:widowControl/>
        <w:suppressLineNumbers w:val="0"/>
        <w:spacing w:line="360" w:lineRule="auto"/>
        <w:ind w:left="0" w:firstLine="42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各潜在供应商应提前将该项目签字盖章齐全的电子版PDF格式的响应文件，压缩为一个压缩包上传至临时电子邮箱，压缩包和邮件名称均须设置成：响应供应商名称+项目名称+授权人姓名+授权人手机号码，且邮件内容与邮件名称相统一，如因响应供应商邮件名称标识错误或邮件内容混传，责任自负。</w:t>
      </w:r>
    </w:p>
    <w:p>
      <w:pPr>
        <w:pStyle w:val="30"/>
        <w:keepNext w:val="0"/>
        <w:keepLines w:val="0"/>
        <w:widowControl/>
        <w:suppressLineNumbers w:val="0"/>
        <w:spacing w:line="360" w:lineRule="auto"/>
        <w:ind w:left="0" w:firstLine="42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以邮件系统显示的接收时间作为响应供应商递交响应文件的时间，响应截止时间后电子邮箱接收到的响应文件无效。若同一响应供应商在响应文件递交截止时间前于电子邮箱内提交多份响应文件的，以递交时间最晚的响应文件，作为本次项目的正式响应文件，递交响应文件最晚的邮箱作为该响应供应商的指定邮箱。逾期提交的或者未提交至电子邮箱的响应文件，采购人拒绝接收。</w:t>
      </w:r>
    </w:p>
    <w:p>
      <w:pPr>
        <w:pStyle w:val="30"/>
        <w:keepNext w:val="0"/>
        <w:keepLines w:val="0"/>
        <w:widowControl/>
        <w:suppressLineNumbers w:val="0"/>
        <w:spacing w:line="360" w:lineRule="auto"/>
        <w:ind w:left="0" w:firstLine="420"/>
        <w:jc w:val="both"/>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电子版响应文件询标及最终报价方式：</w:t>
      </w:r>
    </w:p>
    <w:p>
      <w:pPr>
        <w:pStyle w:val="30"/>
        <w:keepNext w:val="0"/>
        <w:keepLines w:val="0"/>
        <w:widowControl/>
        <w:suppressLineNumbers w:val="0"/>
        <w:spacing w:line="360" w:lineRule="auto"/>
        <w:ind w:left="0" w:firstLine="42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2"/>
          <w:szCs w:val="22"/>
          <w:highlight w:val="none"/>
          <w:lang w:val="en-US" w:eastAsia="zh-CN" w:bidi="ar-SA"/>
        </w:rPr>
        <w:t>谈判小组</w:t>
      </w:r>
      <w:r>
        <w:rPr>
          <w:rFonts w:hint="eastAsia" w:ascii="宋体" w:hAnsi="宋体" w:eastAsia="宋体" w:cs="宋体"/>
          <w:color w:val="auto"/>
          <w:kern w:val="2"/>
          <w:sz w:val="22"/>
          <w:szCs w:val="22"/>
          <w:highlight w:val="none"/>
          <w:lang w:val="en-US" w:eastAsia="zh-CN" w:bidi="ar-SA"/>
        </w:rPr>
        <w:t>依据磋商文件对电子版响应文件进行评审。评标过程中需要询标或最终报价的，</w:t>
      </w:r>
      <w:r>
        <w:rPr>
          <w:rFonts w:hint="eastAsia" w:ascii="宋体" w:hAnsi="宋体" w:cs="宋体"/>
          <w:color w:val="auto"/>
          <w:kern w:val="2"/>
          <w:sz w:val="22"/>
          <w:szCs w:val="22"/>
          <w:highlight w:val="none"/>
          <w:lang w:val="en-US" w:eastAsia="zh-CN" w:bidi="ar-SA"/>
        </w:rPr>
        <w:t>谈判小组</w:t>
      </w:r>
      <w:r>
        <w:rPr>
          <w:rFonts w:hint="eastAsia" w:ascii="宋体" w:hAnsi="宋体" w:eastAsia="宋体" w:cs="宋体"/>
          <w:color w:val="auto"/>
          <w:kern w:val="2"/>
          <w:sz w:val="22"/>
          <w:szCs w:val="22"/>
          <w:highlight w:val="none"/>
          <w:lang w:val="en-US" w:eastAsia="zh-CN" w:bidi="ar-SA"/>
        </w:rPr>
        <w:t>通过现场监督员与供应商进行电话联系，并将询标函或最终报价单发送至供应商的指定邮箱。供应商作出的澄清修改或最终报价单须在20分钟内通过指定邮箱反馈给</w:t>
      </w:r>
      <w:r>
        <w:rPr>
          <w:rFonts w:hint="eastAsia" w:ascii="宋体" w:hAnsi="宋体" w:cs="宋体"/>
          <w:color w:val="auto"/>
          <w:kern w:val="2"/>
          <w:sz w:val="22"/>
          <w:szCs w:val="22"/>
          <w:highlight w:val="none"/>
          <w:lang w:val="en-US" w:eastAsia="zh-CN" w:bidi="ar-SA"/>
        </w:rPr>
        <w:t>谈判小组</w:t>
      </w:r>
      <w:r>
        <w:rPr>
          <w:rFonts w:hint="eastAsia" w:ascii="宋体" w:hAnsi="宋体" w:eastAsia="宋体" w:cs="宋体"/>
          <w:color w:val="auto"/>
          <w:kern w:val="2"/>
          <w:sz w:val="22"/>
          <w:szCs w:val="22"/>
          <w:highlight w:val="none"/>
          <w:lang w:val="en-US" w:eastAsia="zh-CN" w:bidi="ar-SA"/>
        </w:rPr>
        <w:t>。供应商须随时保持电话及指定邮箱畅通，否则责任自负。</w:t>
      </w:r>
    </w:p>
    <w:p>
      <w:pPr>
        <w:pStyle w:val="4"/>
        <w:keepNext/>
        <w:keepLines/>
        <w:autoSpaceDE/>
        <w:spacing w:before="260" w:after="260" w:line="360" w:lineRule="auto"/>
        <w:ind w:left="0" w:right="0"/>
        <w:jc w:val="both"/>
        <w:rPr>
          <w:b/>
          <w:i w:val="0"/>
          <w:color w:val="000000" w:themeColor="text1"/>
          <w:kern w:val="2"/>
          <w:sz w:val="21"/>
          <w:szCs w:val="21"/>
          <w:lang w:val="en-US" w:bidi="ar-SA"/>
          <w14:textFill>
            <w14:solidFill>
              <w14:schemeClr w14:val="tx1"/>
            </w14:solidFill>
          </w14:textFill>
        </w:rPr>
      </w:pPr>
      <w:r>
        <w:rPr>
          <w:rFonts w:hint="eastAsia"/>
          <w:b/>
          <w:i w:val="0"/>
          <w:color w:val="000000" w:themeColor="text1"/>
          <w:kern w:val="2"/>
          <w:sz w:val="21"/>
          <w:szCs w:val="21"/>
          <w:lang w:val="en-US" w:bidi="ar-SA"/>
          <w14:textFill>
            <w14:solidFill>
              <w14:schemeClr w14:val="tx1"/>
            </w14:solidFill>
          </w14:textFill>
        </w:rPr>
        <w:t>八、凡对本次采购提出询问，请按以下方式联系。</w:t>
      </w:r>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2"/>
          <w:sz w:val="22"/>
          <w:szCs w:val="22"/>
          <w:highlight w:val="none"/>
          <w:lang w:val="en-US" w:eastAsia="zh-CN" w:bidi="ar-SA"/>
        </w:rPr>
      </w:pPr>
      <w:bookmarkStart w:id="30" w:name="_Toc28359009"/>
      <w:bookmarkStart w:id="31" w:name="_Toc28359086"/>
      <w:r>
        <w:rPr>
          <w:rFonts w:hint="eastAsia" w:ascii="宋体" w:hAnsi="宋体" w:eastAsia="宋体" w:cs="宋体"/>
          <w:color w:val="auto"/>
          <w:kern w:val="2"/>
          <w:sz w:val="22"/>
          <w:szCs w:val="22"/>
          <w:highlight w:val="none"/>
          <w:lang w:val="en-US" w:eastAsia="zh-CN" w:bidi="ar-SA"/>
        </w:rPr>
        <w:t>名称：　阜阳市城市资产投资经营有限责任公司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地址：　阜阳市颍州区淮河路2000号建投大厦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联系方式：刘工；0558-3681589　　　　　　　</w:t>
      </w:r>
    </w:p>
    <w:p>
      <w:pPr>
        <w:keepNext w:val="0"/>
        <w:keepLines w:val="0"/>
        <w:pageBreakBefore w:val="0"/>
        <w:widowControl w:val="0"/>
        <w:kinsoku/>
        <w:wordWrap/>
        <w:overflowPunct/>
        <w:topLinePunct w:val="0"/>
        <w:autoSpaceDE/>
        <w:autoSpaceDN/>
        <w:bidi w:val="0"/>
        <w:adjustRightInd/>
        <w:snapToGrid/>
        <w:spacing w:line="360" w:lineRule="auto"/>
        <w:ind w:left="816" w:leftChars="371" w:firstLine="440" w:firstLineChars="200"/>
        <w:textAlignment w:val="auto"/>
        <w:rPr>
          <w:rFonts w:hint="eastAsia" w:ascii="宋体" w:hAnsi="宋体" w:eastAsia="宋体" w:cs="宋体"/>
          <w:color w:val="auto"/>
          <w:kern w:val="2"/>
          <w:sz w:val="22"/>
          <w:szCs w:val="2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2.采购代理机构信息</w:t>
      </w:r>
      <w:bookmarkEnd w:id="30"/>
      <w:bookmarkEnd w:id="31"/>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名称：阜阳市同创投资咨询管理有限公司</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地址：阜阳市市民中心三楼6号厅</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联系方式：</w:t>
      </w:r>
      <w:bookmarkStart w:id="32" w:name="_Toc28359010"/>
      <w:bookmarkStart w:id="33" w:name="_Toc28359087"/>
      <w:r>
        <w:rPr>
          <w:rFonts w:hint="eastAsia" w:ascii="宋体" w:hAnsi="宋体" w:eastAsia="宋体" w:cs="宋体"/>
          <w:color w:val="auto"/>
          <w:kern w:val="2"/>
          <w:sz w:val="22"/>
          <w:szCs w:val="22"/>
          <w:highlight w:val="none"/>
          <w:lang w:val="en-US" w:eastAsia="zh-CN" w:bidi="ar-SA"/>
        </w:rPr>
        <w:t>乔工、王工；0558-2166016（备用电话0558-2166193）</w:t>
      </w:r>
    </w:p>
    <w:p>
      <w:pPr>
        <w:keepNext w:val="0"/>
        <w:keepLines w:val="0"/>
        <w:pageBreakBefore w:val="0"/>
        <w:widowControl w:val="0"/>
        <w:kinsoku/>
        <w:wordWrap/>
        <w:overflowPunct/>
        <w:topLinePunct w:val="0"/>
        <w:autoSpaceDE/>
        <w:autoSpaceDN/>
        <w:bidi w:val="0"/>
        <w:adjustRightInd/>
        <w:snapToGrid/>
        <w:spacing w:line="360" w:lineRule="auto"/>
        <w:ind w:left="816" w:leftChars="371" w:firstLine="440" w:firstLineChars="200"/>
        <w:textAlignment w:val="auto"/>
        <w:rPr>
          <w:rFonts w:hint="eastAsia" w:ascii="宋体" w:hAnsi="宋体" w:eastAsia="宋体" w:cs="宋体"/>
          <w:color w:val="auto"/>
          <w:kern w:val="2"/>
          <w:sz w:val="22"/>
          <w:szCs w:val="2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3.项目联系方式</w:t>
      </w:r>
      <w:bookmarkEnd w:id="32"/>
      <w:bookmarkEnd w:id="33"/>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项目联系人：刘工；乔工、王工</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电话：0558-3681589；0558-2166016（备用电话0558-2166193）</w:t>
      </w:r>
    </w:p>
    <w:p>
      <w:pPr>
        <w:pStyle w:val="3"/>
        <w:tabs>
          <w:tab w:val="left" w:pos="4233"/>
        </w:tabs>
        <w:spacing w:line="360" w:lineRule="auto"/>
        <w:rPr>
          <w:color w:val="000000" w:themeColor="text1"/>
          <w:sz w:val="32"/>
          <w:szCs w:val="32"/>
          <w14:textFill>
            <w14:solidFill>
              <w14:schemeClr w14:val="tx1"/>
            </w14:solidFill>
          </w14:textFill>
        </w:rPr>
      </w:pPr>
    </w:p>
    <w:p>
      <w:pPr>
        <w:pStyle w:val="3"/>
        <w:tabs>
          <w:tab w:val="left" w:pos="4233"/>
        </w:tabs>
        <w:spacing w:line="360" w:lineRule="auto"/>
        <w:rPr>
          <w:color w:val="000000" w:themeColor="text1"/>
          <w:sz w:val="32"/>
          <w:szCs w:val="32"/>
          <w14:textFill>
            <w14:solidFill>
              <w14:schemeClr w14:val="tx1"/>
            </w14:solidFill>
          </w14:textFill>
        </w:rPr>
      </w:pPr>
    </w:p>
    <w:p>
      <w:pPr>
        <w:pStyle w:val="3"/>
        <w:tabs>
          <w:tab w:val="left" w:pos="4233"/>
        </w:tabs>
        <w:spacing w:line="360" w:lineRule="auto"/>
        <w:rPr>
          <w:color w:val="000000" w:themeColor="text1"/>
          <w:sz w:val="32"/>
          <w:szCs w:val="32"/>
          <w14:textFill>
            <w14:solidFill>
              <w14:schemeClr w14:val="tx1"/>
            </w14:solidFill>
          </w14:textFill>
        </w:rPr>
      </w:pPr>
    </w:p>
    <w:p>
      <w:pPr>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br w:type="page"/>
      </w:r>
    </w:p>
    <w:p>
      <w:pPr>
        <w:pStyle w:val="3"/>
        <w:tabs>
          <w:tab w:val="left" w:pos="4233"/>
        </w:tabs>
        <w:spacing w:line="360" w:lineRule="auto"/>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第二章 供应商须知</w:t>
      </w:r>
    </w:p>
    <w:p>
      <w:pPr>
        <w:pStyle w:val="6"/>
        <w:spacing w:before="211" w:after="0" w:line="36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一、供应商须知前附表</w:t>
      </w:r>
    </w:p>
    <w:p>
      <w:pPr>
        <w:pStyle w:val="16"/>
        <w:spacing w:before="161" w:line="360" w:lineRule="auto"/>
        <w:ind w:left="220" w:right="295" w:firstLine="434"/>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注：</w:t>
      </w:r>
      <w:r>
        <w:rPr>
          <w:rFonts w:hint="eastAsia"/>
          <w:color w:val="000000" w:themeColor="text1"/>
          <w:sz w:val="21"/>
          <w:szCs w:val="21"/>
          <w14:textFill>
            <w14:solidFill>
              <w14:schemeClr w14:val="tx1"/>
            </w14:solidFill>
          </w14:textFill>
        </w:rPr>
        <w:t>本表是本项目的具体要求，是对供应商须知的具体补充和修改，如有不一致，以本表为准。</w:t>
      </w:r>
    </w:p>
    <w:tbl>
      <w:tblPr>
        <w:tblStyle w:val="35"/>
        <w:tblW w:w="49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2"/>
        <w:gridCol w:w="2257"/>
        <w:gridCol w:w="5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before="96" w:line="360" w:lineRule="auto"/>
              <w:ind w:left="118" w:right="111"/>
              <w:jc w:val="center"/>
              <w:rPr>
                <w:b/>
                <w:color w:val="000000" w:themeColor="text1"/>
                <w:sz w:val="21"/>
                <w:szCs w:val="21"/>
                <w:lang w:eastAsia="en-US"/>
                <w14:textFill>
                  <w14:solidFill>
                    <w14:schemeClr w14:val="tx1"/>
                  </w14:solidFill>
                </w14:textFill>
              </w:rPr>
            </w:pPr>
            <w:r>
              <w:rPr>
                <w:rFonts w:hint="eastAsia"/>
                <w:b/>
                <w:color w:val="000000" w:themeColor="text1"/>
                <w:sz w:val="21"/>
                <w:szCs w:val="21"/>
                <w:lang w:val="en-US" w:eastAsia="en-US"/>
                <w14:textFill>
                  <w14:solidFill>
                    <w14:schemeClr w14:val="tx1"/>
                  </w14:solidFill>
                </w14:textFill>
              </w:rPr>
              <w:t>条款号</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before="96" w:line="360" w:lineRule="auto"/>
              <w:ind w:left="530"/>
              <w:jc w:val="center"/>
              <w:rPr>
                <w:b/>
                <w:color w:val="000000" w:themeColor="text1"/>
                <w:sz w:val="21"/>
                <w:szCs w:val="21"/>
                <w:lang w:eastAsia="en-US"/>
                <w14:textFill>
                  <w14:solidFill>
                    <w14:schemeClr w14:val="tx1"/>
                  </w14:solidFill>
                </w14:textFill>
              </w:rPr>
            </w:pPr>
            <w:r>
              <w:rPr>
                <w:rFonts w:hint="eastAsia"/>
                <w:b/>
                <w:color w:val="000000" w:themeColor="text1"/>
                <w:sz w:val="21"/>
                <w:szCs w:val="21"/>
                <w:lang w:val="en-US" w:eastAsia="en-US"/>
                <w14:textFill>
                  <w14:solidFill>
                    <w14:schemeClr w14:val="tx1"/>
                  </w14:solidFill>
                </w14:textFill>
              </w:rPr>
              <w:t>条款名称</w:t>
            </w:r>
          </w:p>
        </w:tc>
        <w:tc>
          <w:tcPr>
            <w:tcW w:w="3155" w:type="pct"/>
            <w:tcBorders>
              <w:top w:val="single" w:color="000000" w:sz="4" w:space="0"/>
              <w:left w:val="single" w:color="000000" w:sz="4" w:space="0"/>
              <w:bottom w:val="single" w:color="000000" w:sz="4" w:space="0"/>
              <w:right w:val="single" w:color="000000" w:sz="4" w:space="0"/>
            </w:tcBorders>
            <w:vAlign w:val="center"/>
          </w:tcPr>
          <w:p>
            <w:pPr>
              <w:pStyle w:val="69"/>
              <w:spacing w:before="96" w:line="360" w:lineRule="auto"/>
              <w:ind w:left="1769"/>
              <w:jc w:val="both"/>
              <w:rPr>
                <w:b/>
                <w:color w:val="000000" w:themeColor="text1"/>
                <w:sz w:val="21"/>
                <w:szCs w:val="21"/>
                <w:lang w:eastAsia="en-US"/>
                <w14:textFill>
                  <w14:solidFill>
                    <w14:schemeClr w14:val="tx1"/>
                  </w14:solidFill>
                </w14:textFill>
              </w:rPr>
            </w:pPr>
            <w:r>
              <w:rPr>
                <w:rFonts w:hint="eastAsia"/>
                <w:b/>
                <w:color w:val="000000" w:themeColor="text1"/>
                <w:sz w:val="21"/>
                <w:szCs w:val="21"/>
                <w:lang w:val="en-US" w:eastAsia="en-US"/>
                <w14:textFill>
                  <w14:solidFill>
                    <w14:schemeClr w14:val="tx1"/>
                  </w14:solidFill>
                </w14:textFill>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before="96" w:line="360" w:lineRule="auto"/>
              <w:ind w:left="118" w:right="109"/>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3.1</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before="96" w:line="360" w:lineRule="auto"/>
              <w:ind w:left="107"/>
              <w:jc w:val="center"/>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采购人</w:t>
            </w:r>
          </w:p>
        </w:tc>
        <w:tc>
          <w:tcPr>
            <w:tcW w:w="3155" w:type="pct"/>
            <w:tcBorders>
              <w:top w:val="single" w:color="000000" w:sz="4" w:space="0"/>
              <w:left w:val="single" w:color="000000" w:sz="4" w:space="0"/>
              <w:bottom w:val="single" w:color="000000" w:sz="4" w:space="0"/>
              <w:right w:val="single" w:color="000000" w:sz="4" w:space="0"/>
            </w:tcBorders>
            <w:vAlign w:val="center"/>
          </w:tcPr>
          <w:p>
            <w:pPr>
              <w:pStyle w:val="69"/>
              <w:spacing w:before="96" w:line="360" w:lineRule="auto"/>
              <w:jc w:val="both"/>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阜阳市城市资产投资经营有限责任公司</w:t>
            </w:r>
            <w:r>
              <w:rPr>
                <w:rFonts w:hint="eastAsia"/>
                <w:color w:val="000000" w:themeColor="text1"/>
                <w:sz w:val="21"/>
                <w:szCs w:val="21"/>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before="96" w:line="360" w:lineRule="auto"/>
              <w:ind w:left="118" w:right="109"/>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3.2</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before="96" w:line="360" w:lineRule="auto"/>
              <w:ind w:left="107"/>
              <w:jc w:val="center"/>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采购代理机构</w:t>
            </w:r>
          </w:p>
        </w:tc>
        <w:tc>
          <w:tcPr>
            <w:tcW w:w="3155" w:type="pct"/>
            <w:tcBorders>
              <w:top w:val="single" w:color="000000" w:sz="4" w:space="0"/>
              <w:left w:val="single" w:color="000000" w:sz="4" w:space="0"/>
              <w:bottom w:val="single" w:color="000000" w:sz="4" w:space="0"/>
              <w:right w:val="single" w:color="000000" w:sz="4" w:space="0"/>
            </w:tcBorders>
            <w:vAlign w:val="center"/>
          </w:tcPr>
          <w:p>
            <w:pPr>
              <w:pStyle w:val="69"/>
              <w:spacing w:before="96" w:line="360" w:lineRule="auto"/>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阜阳市同创投资咨询管理有限公司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before="155" w:line="360" w:lineRule="auto"/>
              <w:ind w:left="118" w:right="109"/>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3.5</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ind w:left="107"/>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是否允许联合体参加谈判</w:t>
            </w:r>
          </w:p>
        </w:tc>
        <w:tc>
          <w:tcPr>
            <w:tcW w:w="3155" w:type="pct"/>
            <w:tcBorders>
              <w:top w:val="single" w:color="000000" w:sz="4" w:space="0"/>
              <w:left w:val="single" w:color="000000" w:sz="4" w:space="0"/>
              <w:bottom w:val="single" w:color="000000" w:sz="4" w:space="0"/>
              <w:right w:val="single" w:color="000000" w:sz="4" w:space="0"/>
            </w:tcBorders>
            <w:vAlign w:val="center"/>
          </w:tcPr>
          <w:p>
            <w:pPr>
              <w:pStyle w:val="69"/>
              <w:tabs>
                <w:tab w:val="left" w:pos="828"/>
              </w:tabs>
              <w:spacing w:before="155" w:line="360" w:lineRule="auto"/>
              <w:jc w:val="both"/>
              <w:rPr>
                <w:color w:val="000000" w:themeColor="text1"/>
                <w:sz w:val="21"/>
                <w:szCs w:val="21"/>
                <w:lang w:eastAsia="en-US"/>
                <w14:textFill>
                  <w14:solidFill>
                    <w14:schemeClr w14:val="tx1"/>
                  </w14:solidFill>
                </w14:textFill>
              </w:rPr>
            </w:pPr>
            <w:r>
              <w:rPr>
                <w:rFonts w:ascii="Segoe UI Symbol" w:hAnsi="Segoe UI Symbol" w:cs="Segoe UI Symbol"/>
                <w:color w:val="000000" w:themeColor="text1"/>
                <w:szCs w:val="21"/>
                <w14:textFill>
                  <w14:solidFill>
                    <w14:schemeClr w14:val="tx1"/>
                  </w14:solidFill>
                </w14:textFill>
              </w:rPr>
              <w:t>☑</w:t>
            </w:r>
            <w:r>
              <w:rPr>
                <w:rFonts w:hint="eastAsia"/>
                <w:color w:val="000000" w:themeColor="text1"/>
                <w:sz w:val="21"/>
                <w:szCs w:val="21"/>
                <w:lang w:val="en-US" w:eastAsia="en-US"/>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8"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ind w:right="109"/>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7.3</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jc w:val="center"/>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现场考察</w:t>
            </w:r>
          </w:p>
        </w:tc>
        <w:tc>
          <w:tcPr>
            <w:tcW w:w="315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□不组织，供应商自行考察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☑统一组织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时间：2024年12月</w:t>
            </w:r>
            <w:r>
              <w:rPr>
                <w:rFonts w:hint="eastAsia" w:cs="宋体"/>
                <w:color w:val="auto"/>
                <w:kern w:val="2"/>
                <w:sz w:val="22"/>
                <w:szCs w:val="22"/>
                <w:highlight w:val="none"/>
                <w:lang w:val="en-US" w:eastAsia="zh-CN" w:bidi="ar-SA"/>
              </w:rPr>
              <w:t>17</w:t>
            </w:r>
            <w:r>
              <w:rPr>
                <w:rFonts w:hint="eastAsia" w:ascii="宋体" w:hAnsi="宋体" w:eastAsia="宋体" w:cs="宋体"/>
                <w:color w:val="auto"/>
                <w:kern w:val="2"/>
                <w:sz w:val="22"/>
                <w:szCs w:val="22"/>
                <w:highlight w:val="none"/>
                <w:lang w:val="en-US" w:eastAsia="zh-CN" w:bidi="ar-SA"/>
              </w:rPr>
              <w:t>日15时00分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地点：和谐佳苑北门小区内东侧专用配电室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auto"/>
                <w:kern w:val="2"/>
                <w:sz w:val="22"/>
                <w:szCs w:val="22"/>
                <w:highlight w:val="none"/>
                <w:lang w:val="en-US" w:eastAsia="zh-CN" w:bidi="ar-SA"/>
              </w:rPr>
              <w:t>现场考察联系人及联系电话：刘工；</w:t>
            </w:r>
            <w:r>
              <w:rPr>
                <w:rFonts w:hint="eastAsia" w:cs="宋体"/>
                <w:color w:val="auto"/>
                <w:kern w:val="2"/>
                <w:sz w:val="22"/>
                <w:szCs w:val="22"/>
                <w:highlight w:val="none"/>
                <w:lang w:val="en-US" w:eastAsia="zh-CN" w:bidi="ar-SA"/>
              </w:rPr>
              <w:t>15705685763</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ab/>
            </w:r>
          </w:p>
          <w:p>
            <w:pPr>
              <w:pStyle w:val="69"/>
              <w:spacing w:before="31" w:line="360" w:lineRule="auto"/>
              <w:jc w:val="both"/>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备注：如供应商未参加采购人统一组织的现场考察，视同放弃现场考察，由此引起的一切责任由供应商自行承担。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before="156" w:line="360" w:lineRule="auto"/>
              <w:ind w:left="118" w:right="109"/>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8.1</w:t>
            </w:r>
          </w:p>
        </w:tc>
        <w:tc>
          <w:tcPr>
            <w:tcW w:w="1293"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000000" w:themeColor="text1"/>
                <w:sz w:val="21"/>
                <w:szCs w:val="21"/>
                <w:lang w:eastAsia="en-US"/>
                <w14:textFill>
                  <w14:solidFill>
                    <w14:schemeClr w14:val="tx1"/>
                  </w14:solidFill>
                </w14:textFill>
              </w:rPr>
            </w:pPr>
            <w:r>
              <w:rPr>
                <w:rFonts w:hint="eastAsia"/>
                <w:color w:val="000000" w:themeColor="text1"/>
                <w:sz w:val="21"/>
                <w:szCs w:val="21"/>
                <w14:textFill>
                  <w14:solidFill>
                    <w14:schemeClr w14:val="tx1"/>
                  </w14:solidFill>
                </w14:textFill>
              </w:rPr>
              <w:t>供应商质疑</w:t>
            </w:r>
            <w:r>
              <w:rPr>
                <w:rFonts w:hint="eastAsia"/>
                <w:color w:val="000000" w:themeColor="text1"/>
                <w:sz w:val="21"/>
                <w:szCs w:val="21"/>
                <w:lang w:val="en-US" w:eastAsia="en-US"/>
                <w14:textFill>
                  <w14:solidFill>
                    <w14:schemeClr w14:val="tx1"/>
                  </w14:solidFill>
                </w14:textFill>
              </w:rPr>
              <w:t>截止时间</w:t>
            </w:r>
          </w:p>
        </w:tc>
        <w:tc>
          <w:tcPr>
            <w:tcW w:w="3155" w:type="pct"/>
            <w:tcBorders>
              <w:top w:val="single" w:color="000000" w:sz="4" w:space="0"/>
              <w:left w:val="single" w:color="000000" w:sz="4" w:space="0"/>
              <w:bottom w:val="single" w:color="000000" w:sz="4" w:space="0"/>
              <w:right w:val="single" w:color="000000" w:sz="4" w:space="0"/>
            </w:tcBorders>
            <w:vAlign w:val="center"/>
          </w:tcPr>
          <w:p>
            <w:pPr>
              <w:autoSpaceDE/>
              <w:spacing w:line="360" w:lineRule="auto"/>
              <w:jc w:val="both"/>
              <w:rPr>
                <w:rFonts w:ascii="Times New Roman" w:hAnsi="Times New Roman" w:cs="Times New Roman"/>
                <w:color w:val="000000" w:themeColor="text1"/>
                <w:kern w:val="2"/>
                <w:sz w:val="21"/>
                <w:szCs w:val="21"/>
                <w:lang w:val="en-US" w:bidi="ar-SA"/>
                <w14:textFill>
                  <w14:solidFill>
                    <w14:schemeClr w14:val="tx1"/>
                  </w14:solidFill>
                </w14:textFill>
              </w:rPr>
            </w:pPr>
            <w:r>
              <w:rPr>
                <w:rFonts w:hint="eastAsia" w:ascii="Times New Roman" w:hAnsi="Times New Roman" w:cs="Times New Roman"/>
                <w:color w:val="000000" w:themeColor="text1"/>
                <w:kern w:val="2"/>
                <w:sz w:val="21"/>
                <w:szCs w:val="21"/>
                <w:lang w:val="en-US" w:bidi="ar-SA"/>
                <w14:textFill>
                  <w14:solidFill>
                    <w14:schemeClr w14:val="tx1"/>
                  </w14:solidFill>
                </w14:textFill>
              </w:rPr>
              <w:t>1、</w:t>
            </w:r>
            <w:r>
              <w:rPr>
                <w:rFonts w:hint="eastAsia" w:ascii="宋体" w:hAnsi="宋体" w:eastAsia="宋体" w:cs="宋体"/>
                <w:i w:val="0"/>
                <w:iCs w:val="0"/>
                <w:color w:val="auto"/>
                <w:kern w:val="0"/>
                <w:sz w:val="21"/>
                <w:szCs w:val="21"/>
                <w:highlight w:val="none"/>
              </w:rPr>
              <w:t>对采购文件提出质疑的，应当在采购文件公告期限届满之日起7个工作日内提出。</w:t>
            </w:r>
            <w:r>
              <w:rPr>
                <w:rFonts w:ascii="Times New Roman" w:hAnsi="Times New Roman" w:cs="Times New Roman"/>
                <w:color w:val="000000" w:themeColor="text1"/>
                <w:kern w:val="2"/>
                <w:sz w:val="21"/>
                <w:szCs w:val="21"/>
                <w:lang w:val="en-US" w:bidi="ar-SA"/>
                <w14:textFill>
                  <w14:solidFill>
                    <w14:schemeClr w14:val="tx1"/>
                  </w14:solidFill>
                </w14:textFill>
              </w:rPr>
              <w:t xml:space="preserve"> </w:t>
            </w:r>
          </w:p>
          <w:p>
            <w:pPr>
              <w:autoSpaceDE/>
              <w:spacing w:line="360" w:lineRule="auto"/>
              <w:jc w:val="both"/>
              <w:rPr>
                <w:rFonts w:ascii="Times New Roman" w:hAnsi="Times New Roman" w:cs="Times New Roman"/>
                <w:color w:val="000000" w:themeColor="text1"/>
                <w:kern w:val="2"/>
                <w:sz w:val="21"/>
                <w:szCs w:val="21"/>
                <w:lang w:val="en-US" w:bidi="ar-SA"/>
                <w14:textFill>
                  <w14:solidFill>
                    <w14:schemeClr w14:val="tx1"/>
                  </w14:solidFill>
                </w14:textFill>
              </w:rPr>
            </w:pPr>
            <w:r>
              <w:rPr>
                <w:rFonts w:hint="eastAsia" w:ascii="Times New Roman" w:hAnsi="Times New Roman" w:cs="Times New Roman"/>
                <w:color w:val="000000" w:themeColor="text1"/>
                <w:kern w:val="2"/>
                <w:sz w:val="21"/>
                <w:szCs w:val="21"/>
                <w:lang w:val="en-US" w:bidi="ar-SA"/>
                <w14:textFill>
                  <w14:solidFill>
                    <w14:schemeClr w14:val="tx1"/>
                  </w14:solidFill>
                </w14:textFill>
              </w:rPr>
              <w:t>接受谈判文件异议的电子邮箱：</w:t>
            </w:r>
            <w:r>
              <w:rPr>
                <w:rFonts w:hint="eastAsia" w:ascii="宋体" w:hAnsi="宋体" w:eastAsia="宋体" w:cs="宋体"/>
                <w:i w:val="0"/>
                <w:iCs w:val="0"/>
                <w:color w:val="auto"/>
                <w:kern w:val="0"/>
                <w:sz w:val="21"/>
                <w:szCs w:val="21"/>
                <w:highlight w:val="none"/>
                <w:lang w:val="en-US" w:eastAsia="zh-CN"/>
              </w:rPr>
              <w:t>370509802</w:t>
            </w:r>
            <w:r>
              <w:rPr>
                <w:rFonts w:hint="eastAsia" w:ascii="宋体" w:hAnsi="宋体" w:eastAsia="宋体" w:cs="宋体"/>
                <w:i w:val="0"/>
                <w:iCs w:val="0"/>
                <w:color w:val="auto"/>
                <w:kern w:val="0"/>
                <w:sz w:val="21"/>
                <w:szCs w:val="21"/>
                <w:highlight w:val="none"/>
                <w:lang w:val="en-US"/>
              </w:rPr>
              <w:t xml:space="preserve">@qq.com </w:t>
            </w:r>
          </w:p>
          <w:p>
            <w:pPr>
              <w:widowControl/>
              <w:shd w:val="clear" w:color="auto" w:fill="FFFFFF"/>
              <w:autoSpaceDE/>
              <w:spacing w:line="360" w:lineRule="auto"/>
              <w:ind w:firstLine="411" w:firstLineChars="196"/>
              <w:jc w:val="both"/>
              <w:rPr>
                <w:rFonts w:ascii="Times New Roman" w:hAnsi="Times New Roman" w:cs="Times New Roman"/>
                <w:color w:val="000000" w:themeColor="text1"/>
                <w:kern w:val="2"/>
                <w:sz w:val="21"/>
                <w:szCs w:val="21"/>
                <w:lang w:val="en-US" w:bidi="ar-SA"/>
                <w14:textFill>
                  <w14:solidFill>
                    <w14:schemeClr w14:val="tx1"/>
                  </w14:solidFill>
                </w14:textFill>
              </w:rPr>
            </w:pPr>
            <w:r>
              <w:rPr>
                <w:rFonts w:hint="eastAsia" w:ascii="Times New Roman" w:hAnsi="Times New Roman" w:cs="Times New Roman"/>
                <w:color w:val="000000" w:themeColor="text1"/>
                <w:kern w:val="2"/>
                <w:sz w:val="21"/>
                <w:szCs w:val="21"/>
                <w:lang w:val="en-US" w:bidi="ar-SA"/>
                <w14:textFill>
                  <w14:solidFill>
                    <w14:schemeClr w14:val="tx1"/>
                  </w14:solidFill>
                </w14:textFill>
              </w:rPr>
              <w:t>特别提示：提出质疑时须注明项目名称及项目编号</w:t>
            </w:r>
            <w:r>
              <w:rPr>
                <w:rFonts w:ascii="Times New Roman" w:hAnsi="Times New Roman" w:cs="Times New Roman"/>
                <w:color w:val="000000" w:themeColor="text1"/>
                <w:kern w:val="2"/>
                <w:sz w:val="21"/>
                <w:szCs w:val="21"/>
                <w:lang w:val="en-US" w:bidi="ar-SA"/>
                <w14:textFill>
                  <w14:solidFill>
                    <w14:schemeClr w14:val="tx1"/>
                  </w14:solidFill>
                </w14:textFill>
              </w:rPr>
              <w:t xml:space="preserve"> </w:t>
            </w:r>
            <w:r>
              <w:rPr>
                <w:rFonts w:hint="eastAsia" w:ascii="Times New Roman" w:hAnsi="Times New Roman" w:cs="Times New Roman"/>
                <w:color w:val="000000" w:themeColor="text1"/>
                <w:kern w:val="2"/>
                <w:sz w:val="21"/>
                <w:szCs w:val="21"/>
                <w:lang w:val="en-US" w:bidi="ar-SA"/>
                <w14:textFill>
                  <w14:solidFill>
                    <w14:schemeClr w14:val="tx1"/>
                  </w14:solidFill>
                </w14:textFill>
              </w:rPr>
              <w:t>。</w:t>
            </w:r>
          </w:p>
          <w:p>
            <w:pPr>
              <w:autoSpaceDE/>
              <w:spacing w:line="360" w:lineRule="auto"/>
              <w:ind w:firstLine="411" w:firstLineChars="196"/>
              <w:jc w:val="both"/>
              <w:rPr>
                <w:rFonts w:ascii="Times New Roman" w:hAnsi="Times New Roman" w:cs="Times New Roman"/>
                <w:color w:val="000000" w:themeColor="text1"/>
                <w:kern w:val="2"/>
                <w:sz w:val="21"/>
                <w:szCs w:val="21"/>
                <w:lang w:val="en-US" w:bidi="ar-SA"/>
                <w14:textFill>
                  <w14:solidFill>
                    <w14:schemeClr w14:val="tx1"/>
                  </w14:solidFill>
                </w14:textFill>
              </w:rPr>
            </w:pPr>
            <w:r>
              <w:rPr>
                <w:rFonts w:hint="eastAsia" w:ascii="Times New Roman" w:hAnsi="Times New Roman" w:cs="Times New Roman"/>
                <w:color w:val="000000" w:themeColor="text1"/>
                <w:kern w:val="2"/>
                <w:sz w:val="21"/>
                <w:szCs w:val="21"/>
                <w:lang w:val="en-US" w:bidi="ar-SA"/>
                <w14:textFill>
                  <w14:solidFill>
                    <w14:schemeClr w14:val="tx1"/>
                  </w14:solidFill>
                </w14:textFill>
              </w:rPr>
              <w:t>询问答复及澄清或修改：在</w:t>
            </w: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阜阳投资发展集团有限公司(http://fytfjt.com/)</w:t>
            </w:r>
            <w:r>
              <w:rPr>
                <w:rFonts w:hint="eastAsia" w:ascii="Times New Roman" w:hAnsi="Times New Roman" w:cs="Times New Roman"/>
                <w:color w:val="000000" w:themeColor="text1"/>
                <w:kern w:val="2"/>
                <w:sz w:val="21"/>
                <w:szCs w:val="21"/>
                <w:lang w:val="en-US" w:bidi="ar-SA"/>
                <w14:textFill>
                  <w14:solidFill>
                    <w14:schemeClr w14:val="tx1"/>
                  </w14:solidFill>
                </w14:textFill>
              </w:rPr>
              <w:t>网站发布，采购人不再另行通知。</w:t>
            </w:r>
          </w:p>
          <w:p>
            <w:pPr>
              <w:autoSpaceDE/>
              <w:spacing w:line="360" w:lineRule="auto"/>
              <w:jc w:val="both"/>
              <w:rPr>
                <w:rFonts w:ascii="Times New Roman" w:hAnsi="Times New Roman" w:cs="Times New Roman"/>
                <w:color w:val="000000" w:themeColor="text1"/>
                <w:kern w:val="2"/>
                <w:sz w:val="21"/>
                <w:szCs w:val="21"/>
                <w:lang w:val="en-US" w:bidi="ar-SA"/>
                <w14:textFill>
                  <w14:solidFill>
                    <w14:schemeClr w14:val="tx1"/>
                  </w14:solidFill>
                </w14:textFill>
              </w:rPr>
            </w:pPr>
            <w:r>
              <w:rPr>
                <w:rFonts w:hint="eastAsia" w:ascii="Times New Roman" w:hAnsi="Times New Roman" w:cs="Times New Roman"/>
                <w:color w:val="000000" w:themeColor="text1"/>
                <w:kern w:val="2"/>
                <w:sz w:val="21"/>
                <w:szCs w:val="21"/>
                <w:lang w:val="en-US" w:bidi="ar-SA"/>
                <w14:textFill>
                  <w14:solidFill>
                    <w14:schemeClr w14:val="tx1"/>
                  </w14:solidFill>
                </w14:textFill>
              </w:rPr>
              <w:t>该答复内容及澄清或修改内容为采购文件的组成部分，对供应商具有同样约束力效力。（所有潜在供应商在响应截至时间前有义务在自行查询，澄清、修改及答疑回复视为全部知晓，无需回复确认。）</w:t>
            </w:r>
          </w:p>
          <w:p>
            <w:pPr>
              <w:widowControl/>
              <w:shd w:val="clear" w:color="auto" w:fill="FFFFFF"/>
              <w:autoSpaceDE/>
              <w:spacing w:line="360" w:lineRule="auto"/>
              <w:jc w:val="both"/>
              <w:rPr>
                <w:rFonts w:ascii="Times New Roman" w:hAnsi="Times New Roman" w:cs="Times New Roman"/>
                <w:color w:val="000000" w:themeColor="text1"/>
                <w:kern w:val="2"/>
                <w:sz w:val="21"/>
                <w:szCs w:val="21"/>
                <w:lang w:val="en-US" w:bidi="ar-SA"/>
                <w14:textFill>
                  <w14:solidFill>
                    <w14:schemeClr w14:val="tx1"/>
                  </w14:solidFill>
                </w14:textFill>
              </w:rPr>
            </w:pPr>
            <w:r>
              <w:rPr>
                <w:rFonts w:ascii="Times New Roman" w:hAnsi="Times New Roman" w:cs="Times New Roman"/>
                <w:color w:val="000000" w:themeColor="text1"/>
                <w:kern w:val="2"/>
                <w:sz w:val="21"/>
                <w:szCs w:val="21"/>
                <w:lang w:val="en-US" w:bidi="ar-SA"/>
                <w14:textFill>
                  <w14:solidFill>
                    <w14:schemeClr w14:val="tx1"/>
                  </w14:solidFill>
                </w14:textFill>
              </w:rPr>
              <w:t>2</w:t>
            </w:r>
            <w:r>
              <w:rPr>
                <w:rFonts w:hint="eastAsia" w:ascii="Times New Roman" w:hAnsi="Times New Roman" w:cs="Times New Roman"/>
                <w:color w:val="000000" w:themeColor="text1"/>
                <w:kern w:val="2"/>
                <w:sz w:val="21"/>
                <w:szCs w:val="21"/>
                <w:lang w:val="en-US" w:bidi="ar-SA"/>
                <w14:textFill>
                  <w14:solidFill>
                    <w14:schemeClr w14:val="tx1"/>
                  </w14:solidFill>
                </w14:textFill>
              </w:rPr>
              <w:t>、</w:t>
            </w:r>
            <w:r>
              <w:rPr>
                <w:rFonts w:hint="eastAsia" w:ascii="宋体" w:hAnsi="宋体" w:eastAsia="宋体" w:cs="宋体"/>
                <w:i w:val="0"/>
                <w:iCs w:val="0"/>
                <w:color w:val="auto"/>
                <w:kern w:val="0"/>
                <w:sz w:val="21"/>
                <w:szCs w:val="21"/>
                <w:highlight w:val="none"/>
              </w:rPr>
              <w:t>供应商认为采购过程、成交结果使自己的权益受到损害的，可以在知道或者应知其权益受到损害之日起7个工作日内，以书面形式提出。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ind w:right="109"/>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9.1</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ind w:firstLine="105" w:firstLineChars="50"/>
              <w:jc w:val="center"/>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包别划分</w:t>
            </w:r>
          </w:p>
        </w:tc>
        <w:tc>
          <w:tcPr>
            <w:tcW w:w="3155" w:type="pct"/>
            <w:tcBorders>
              <w:top w:val="single" w:color="000000" w:sz="4" w:space="0"/>
              <w:left w:val="single" w:color="000000" w:sz="4" w:space="0"/>
              <w:bottom w:val="single" w:color="000000" w:sz="4" w:space="0"/>
              <w:right w:val="single" w:color="000000" w:sz="4" w:space="0"/>
            </w:tcBorders>
            <w:vAlign w:val="center"/>
          </w:tcPr>
          <w:p>
            <w:pPr>
              <w:pStyle w:val="69"/>
              <w:tabs>
                <w:tab w:val="left" w:pos="5415"/>
              </w:tabs>
              <w:spacing w:before="161" w:line="360" w:lineRule="auto"/>
              <w:jc w:val="both"/>
              <w:rPr>
                <w:color w:val="000000" w:themeColor="text1"/>
                <w:sz w:val="21"/>
                <w:szCs w:val="21"/>
                <w14:textFill>
                  <w14:solidFill>
                    <w14:schemeClr w14:val="tx1"/>
                  </w14:solidFill>
                </w14:textFill>
              </w:rPr>
            </w:pPr>
            <w:r>
              <w:rPr>
                <w:rFonts w:ascii="Segoe UI Symbol" w:hAnsi="Segoe UI Symbol" w:cs="Segoe UI Symbol"/>
                <w:color w:val="000000" w:themeColor="text1"/>
                <w:szCs w:val="21"/>
                <w14:textFill>
                  <w14:solidFill>
                    <w14:schemeClr w14:val="tx1"/>
                  </w14:solidFill>
                </w14:textFill>
              </w:rPr>
              <w:t>☑</w:t>
            </w:r>
            <w:r>
              <w:rPr>
                <w:rFonts w:hint="eastAsia"/>
                <w:color w:val="000000" w:themeColor="text1"/>
                <w:sz w:val="21"/>
                <w:szCs w:val="21"/>
                <w14:textFill>
                  <w14:solidFill>
                    <w14:schemeClr w14:val="tx1"/>
                  </w14:solidFill>
                </w14:textFill>
              </w:rPr>
              <w:t>不分包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before="211" w:line="360" w:lineRule="auto"/>
              <w:ind w:right="133"/>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13.1</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before="211" w:line="360" w:lineRule="auto"/>
              <w:jc w:val="center"/>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谈判保证金</w:t>
            </w:r>
          </w:p>
        </w:tc>
        <w:tc>
          <w:tcPr>
            <w:tcW w:w="3155" w:type="pct"/>
            <w:tcBorders>
              <w:top w:val="single" w:color="000000" w:sz="4" w:space="0"/>
              <w:left w:val="single" w:color="000000" w:sz="4" w:space="0"/>
              <w:bottom w:val="single" w:color="000000" w:sz="4" w:space="0"/>
              <w:right w:val="single" w:color="000000" w:sz="4" w:space="0"/>
            </w:tcBorders>
            <w:vAlign w:val="center"/>
          </w:tcPr>
          <w:p>
            <w:pPr>
              <w:pStyle w:val="69"/>
              <w:spacing w:before="4" w:line="360" w:lineRule="auto"/>
              <w:rPr>
                <w:color w:val="000000" w:themeColor="text1"/>
                <w:sz w:val="21"/>
                <w:szCs w:val="21"/>
                <w:lang w:eastAsia="en-US"/>
                <w14:textFill>
                  <w14:solidFill>
                    <w14:schemeClr w14:val="tx1"/>
                  </w14:solidFill>
                </w14:textFill>
              </w:rPr>
            </w:pPr>
            <w:r>
              <w:rPr>
                <w:rFonts w:hint="eastAsia"/>
                <w:color w:val="000000" w:themeColor="text1"/>
                <w:sz w:val="21"/>
                <w:szCs w:val="21"/>
                <w14:textFill>
                  <w14:solidFill>
                    <w14:schemeClr w14:val="tx1"/>
                  </w14:solidFill>
                </w14:textFill>
              </w:rPr>
              <w:t>免收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before="96" w:line="360" w:lineRule="auto"/>
              <w:ind w:right="133"/>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14.1</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before="96" w:line="360" w:lineRule="auto"/>
              <w:jc w:val="center"/>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谈判有效期</w:t>
            </w:r>
          </w:p>
        </w:tc>
        <w:tc>
          <w:tcPr>
            <w:tcW w:w="3155" w:type="pct"/>
            <w:tcBorders>
              <w:top w:val="single" w:color="000000" w:sz="4" w:space="0"/>
              <w:left w:val="single" w:color="000000" w:sz="4" w:space="0"/>
              <w:bottom w:val="single" w:color="000000" w:sz="4" w:space="0"/>
              <w:right w:val="single" w:color="000000" w:sz="4" w:space="0"/>
            </w:tcBorders>
            <w:vAlign w:val="center"/>
          </w:tcPr>
          <w:p>
            <w:pPr>
              <w:pStyle w:val="69"/>
              <w:tabs>
                <w:tab w:val="left" w:pos="825"/>
              </w:tabs>
              <w:spacing w:before="96" w:line="360" w:lineRule="auto"/>
              <w:rPr>
                <w:color w:val="000000" w:themeColor="text1"/>
                <w:sz w:val="21"/>
                <w:szCs w:val="21"/>
                <w:lang w:eastAsia="en-US"/>
                <w14:textFill>
                  <w14:solidFill>
                    <w14:schemeClr w14:val="tx1"/>
                  </w14:solidFill>
                </w14:textFill>
              </w:rPr>
            </w:pPr>
            <w:r>
              <w:rPr>
                <w:color w:val="000000" w:themeColor="text1"/>
                <w:sz w:val="21"/>
                <w:szCs w:val="21"/>
                <w:u w:val="single"/>
                <w:lang w:eastAsia="en-US"/>
                <w14:textFill>
                  <w14:solidFill>
                    <w14:schemeClr w14:val="tx1"/>
                  </w14:solidFill>
                </w14:textFill>
              </w:rPr>
              <w:t>120</w:t>
            </w:r>
            <w:r>
              <w:rPr>
                <w:rFonts w:hint="eastAsia"/>
                <w:color w:val="000000" w:themeColor="text1"/>
                <w:sz w:val="21"/>
                <w:szCs w:val="21"/>
                <w:lang w:val="en-US" w:eastAsia="en-US"/>
                <w14:textFill>
                  <w14:solidFill>
                    <w14:schemeClr w14:val="tx1"/>
                  </w14:solidFill>
                </w14:textFill>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before="98" w:line="360" w:lineRule="auto"/>
              <w:ind w:right="133"/>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15.1</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before="98" w:line="360" w:lineRule="auto"/>
              <w:jc w:val="center"/>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响应文件要求</w:t>
            </w:r>
          </w:p>
        </w:tc>
        <w:tc>
          <w:tcPr>
            <w:tcW w:w="3155" w:type="pct"/>
            <w:tcBorders>
              <w:top w:val="single" w:color="000000" w:sz="4" w:space="0"/>
              <w:left w:val="single" w:color="000000" w:sz="4" w:space="0"/>
              <w:bottom w:val="single" w:color="000000" w:sz="4" w:space="0"/>
              <w:right w:val="single" w:color="000000" w:sz="4" w:space="0"/>
            </w:tcBorders>
            <w:vAlign w:val="center"/>
          </w:tcPr>
          <w:p>
            <w:pPr>
              <w:pStyle w:val="69"/>
              <w:spacing w:before="98" w:line="360" w:lineRule="auto"/>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eastAsia="en-US"/>
              </w:rPr>
              <w:t>PDF电子版一份</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响应文件递交截至事件前递交至指定电子邮箱）</w:t>
            </w:r>
            <w:r>
              <w:rPr>
                <w:rFonts w:hint="eastAsia" w:ascii="宋体" w:hAnsi="宋体" w:eastAsia="宋体" w:cs="宋体"/>
                <w:i w:val="0"/>
                <w:iCs w:val="0"/>
                <w:color w:val="auto"/>
                <w:sz w:val="21"/>
                <w:szCs w:val="21"/>
                <w:highlight w:val="none"/>
                <w:lang w:eastAsia="en-US"/>
              </w:rPr>
              <w:t>；</w:t>
            </w:r>
          </w:p>
          <w:p>
            <w:pPr>
              <w:pStyle w:val="69"/>
              <w:spacing w:before="98" w:line="360" w:lineRule="auto"/>
              <w:rPr>
                <w:color w:val="000000" w:themeColor="text1"/>
                <w:sz w:val="21"/>
                <w:szCs w:val="21"/>
                <w14:textFill>
                  <w14:solidFill>
                    <w14:schemeClr w14:val="tx1"/>
                  </w14:solidFill>
                </w14:textFill>
              </w:rPr>
            </w:pP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eastAsia="en-US"/>
              </w:rPr>
              <w:t>成交后由成交人提供三份纸质版响应文件，并提供内容与纸质版响应文件一致且签字盖章齐全的非加密电子版</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lang w:eastAsia="en-US"/>
              </w:rPr>
              <w:t>文件（U盘）两份</w:t>
            </w:r>
            <w:r>
              <w:rPr>
                <w:rFonts w:hint="eastAsia" w:cs="宋体"/>
                <w:i w:val="0"/>
                <w:iCs w:val="0"/>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ind w:right="133"/>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15.3</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before="79"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谈判现场提交的其他材料要求</w:t>
            </w:r>
          </w:p>
        </w:tc>
        <w:tc>
          <w:tcPr>
            <w:tcW w:w="3155"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ind w:right="133"/>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16.1</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before="79"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响应文件提交截止时间</w:t>
            </w:r>
          </w:p>
        </w:tc>
        <w:tc>
          <w:tcPr>
            <w:tcW w:w="3155"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ind w:left="10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详见谈判公告（谈判邀请）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551" w:type="pct"/>
            <w:vMerge w:val="restart"/>
            <w:tcBorders>
              <w:top w:val="single" w:color="000000" w:sz="4" w:space="0"/>
              <w:left w:val="single" w:color="000000" w:sz="4" w:space="0"/>
              <w:bottom w:val="single" w:color="000000" w:sz="4" w:space="0"/>
              <w:right w:val="single" w:color="000000" w:sz="4" w:space="0"/>
            </w:tcBorders>
            <w:vAlign w:val="center"/>
          </w:tcPr>
          <w:p>
            <w:pPr>
              <w:pStyle w:val="69"/>
              <w:spacing w:line="360" w:lineRule="auto"/>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19.1</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before="98" w:line="360" w:lineRule="auto"/>
              <w:jc w:val="center"/>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谈判时间</w:t>
            </w:r>
          </w:p>
        </w:tc>
        <w:tc>
          <w:tcPr>
            <w:tcW w:w="3155" w:type="pct"/>
            <w:tcBorders>
              <w:top w:val="single" w:color="000000" w:sz="4" w:space="0"/>
              <w:left w:val="single" w:color="000000" w:sz="4" w:space="0"/>
              <w:bottom w:val="single" w:color="000000" w:sz="4" w:space="0"/>
              <w:right w:val="single" w:color="000000" w:sz="4" w:space="0"/>
            </w:tcBorders>
            <w:vAlign w:val="center"/>
          </w:tcPr>
          <w:p>
            <w:pPr>
              <w:pStyle w:val="69"/>
              <w:spacing w:before="98" w:line="360" w:lineRule="auto"/>
              <w:ind w:left="10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详见谈判公告（谈判邀请）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551" w:type="pct"/>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jc w:val="center"/>
              <w:rPr>
                <w:color w:val="000000" w:themeColor="text1"/>
                <w:sz w:val="21"/>
                <w:szCs w:val="21"/>
                <w14:textFill>
                  <w14:solidFill>
                    <w14:schemeClr w14:val="tx1"/>
                  </w14:solidFill>
                </w14:textFill>
              </w:rPr>
            </w:pP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before="95" w:line="360" w:lineRule="auto"/>
              <w:jc w:val="center"/>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谈判地点</w:t>
            </w:r>
          </w:p>
        </w:tc>
        <w:tc>
          <w:tcPr>
            <w:tcW w:w="3155" w:type="pct"/>
            <w:tcBorders>
              <w:top w:val="single" w:color="000000" w:sz="4" w:space="0"/>
              <w:left w:val="single" w:color="000000" w:sz="4" w:space="0"/>
              <w:bottom w:val="single" w:color="000000" w:sz="4" w:space="0"/>
              <w:right w:val="single" w:color="000000" w:sz="4" w:space="0"/>
            </w:tcBorders>
            <w:vAlign w:val="center"/>
          </w:tcPr>
          <w:p>
            <w:pPr>
              <w:pStyle w:val="69"/>
              <w:spacing w:before="95" w:line="360" w:lineRule="auto"/>
              <w:ind w:left="10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详见谈判公告（谈判邀请）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before="95" w:line="360" w:lineRule="auto"/>
              <w:ind w:right="133"/>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19.2</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before="95" w:line="360" w:lineRule="auto"/>
              <w:jc w:val="center"/>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评审方法</w:t>
            </w:r>
          </w:p>
        </w:tc>
        <w:tc>
          <w:tcPr>
            <w:tcW w:w="3155" w:type="pct"/>
            <w:tcBorders>
              <w:top w:val="single" w:color="000000" w:sz="4" w:space="0"/>
              <w:left w:val="single" w:color="000000" w:sz="4" w:space="0"/>
              <w:bottom w:val="single" w:color="000000" w:sz="4" w:space="0"/>
              <w:right w:val="single" w:color="000000" w:sz="4" w:space="0"/>
            </w:tcBorders>
            <w:vAlign w:val="center"/>
          </w:tcPr>
          <w:p>
            <w:pPr>
              <w:pStyle w:val="69"/>
              <w:spacing w:before="95" w:line="360" w:lineRule="auto"/>
              <w:ind w:left="105"/>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before="95" w:line="360" w:lineRule="auto"/>
              <w:ind w:right="133"/>
              <w:jc w:val="center"/>
              <w:rPr>
                <w:color w:val="000000" w:themeColor="text1"/>
                <w:sz w:val="21"/>
                <w:szCs w:val="21"/>
                <w:lang w:eastAsia="en-US"/>
                <w14:textFill>
                  <w14:solidFill>
                    <w14:schemeClr w14:val="tx1"/>
                  </w14:solidFill>
                </w14:textFill>
              </w:rPr>
            </w:pPr>
            <w:r>
              <w:rPr>
                <w:rFonts w:hint="eastAsia"/>
                <w:color w:val="000000" w:themeColor="text1"/>
                <w:sz w:val="21"/>
                <w:szCs w:val="21"/>
                <w14:textFill>
                  <w14:solidFill>
                    <w14:schemeClr w14:val="tx1"/>
                  </w14:solidFill>
                </w14:textFill>
              </w:rPr>
              <w:t>2.7</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before="95" w:line="360" w:lineRule="auto"/>
              <w:ind w:left="107"/>
              <w:jc w:val="center"/>
              <w:rPr>
                <w:color w:val="000000" w:themeColor="text1"/>
                <w:sz w:val="21"/>
                <w:szCs w:val="21"/>
                <w:lang w:eastAsia="en-US"/>
                <w14:textFill>
                  <w14:solidFill>
                    <w14:schemeClr w14:val="tx1"/>
                  </w14:solidFill>
                </w14:textFill>
              </w:rPr>
            </w:pPr>
            <w:r>
              <w:rPr>
                <w:rFonts w:hint="eastAsia"/>
                <w:color w:val="000000" w:themeColor="text1"/>
                <w:sz w:val="21"/>
                <w:szCs w:val="21"/>
                <w14:textFill>
                  <w14:solidFill>
                    <w14:schemeClr w14:val="tx1"/>
                  </w14:solidFill>
                </w14:textFill>
              </w:rPr>
              <w:t>报价及合同价款的方式</w:t>
            </w:r>
          </w:p>
        </w:tc>
        <w:tc>
          <w:tcPr>
            <w:tcW w:w="3155"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48" w:beforeLines="20" w:after="48" w:afterLines="20" w:line="360" w:lineRule="auto"/>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☑固定总价合同</w:t>
            </w:r>
          </w:p>
          <w:p>
            <w:pPr>
              <w:adjustRightInd w:val="0"/>
              <w:snapToGrid w:val="0"/>
              <w:spacing w:before="48" w:beforeLines="20" w:after="48" w:afterLines="20" w:line="360" w:lineRule="auto"/>
              <w:ind w:firstLine="420" w:firstLineChars="200"/>
              <w:rPr>
                <w:rFonts w:cs="仿宋"/>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投标人投标时采用固定总价报价方式，投标人不再对清单进行分项报价。</w:t>
            </w:r>
            <w:r>
              <w:rPr>
                <w:rFonts w:hint="eastAsia" w:cs="仿宋"/>
                <w:color w:val="000000" w:themeColor="text1"/>
                <w:sz w:val="21"/>
                <w:szCs w:val="21"/>
                <w14:textFill>
                  <w14:solidFill>
                    <w14:schemeClr w14:val="tx1"/>
                  </w14:solidFill>
                </w14:textFill>
              </w:rPr>
              <w:t>投标报价浮动率 =【投标报价-（暂估价、暂列金额）】/【最高投标限价-（暂估价、暂列金额）】*100%（</w:t>
            </w:r>
            <w:r>
              <w:rPr>
                <w:rFonts w:hint="eastAsia"/>
                <w:bCs/>
                <w:color w:val="000000" w:themeColor="text1"/>
                <w:sz w:val="21"/>
                <w:szCs w:val="21"/>
                <w14:textFill>
                  <w14:solidFill>
                    <w14:schemeClr w14:val="tx1"/>
                  </w14:solidFill>
                </w14:textFill>
              </w:rPr>
              <w:t>保留两位小数，小数点后第三位四舍五入</w:t>
            </w:r>
            <w:r>
              <w:rPr>
                <w:rFonts w:hint="eastAsia" w:cs="仿宋"/>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 xml:space="preserve">。 </w:t>
            </w:r>
          </w:p>
          <w:p>
            <w:pPr>
              <w:adjustRightInd w:val="0"/>
              <w:snapToGrid w:val="0"/>
              <w:spacing w:before="48" w:beforeLines="20" w:after="48" w:afterLines="20" w:line="360" w:lineRule="auto"/>
              <w:ind w:firstLine="420" w:firstLineChars="200"/>
              <w:rPr>
                <w:rFonts w:cs="仿宋"/>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工程量清单及最高投标限价的确认：采购人编制的工程量清单及最高投标限价作为本次投标报价的基础依据，投标人应在投标答疑截止时间前根据施工图对采购人提供的工程量清单及最高投标限价组价进行核算并提出异议，分项工程量误差在正负3%之内的不予调整。若投标人在规定的期限内提出异议，并提供相应的工程量计算书，以便采购人及时核对，并以采购人重新确定的工程量清单作为报价依据，开标后工程量清单及最高投标限价组价一律不予调整（设计变更、经济签证、工程联系单等除外）。 </w:t>
            </w:r>
          </w:p>
          <w:p>
            <w:pPr>
              <w:adjustRightInd w:val="0"/>
              <w:snapToGrid w:val="0"/>
              <w:spacing w:before="48" w:beforeLines="20" w:after="48" w:afterLines="20" w:line="360" w:lineRule="auto"/>
              <w:ind w:firstLine="420" w:firstLineChars="200"/>
              <w:rPr>
                <w:rFonts w:cs="仿宋"/>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技术规范要求的费用应包括在投标报价中。在设计图中如无图示或未表达明确的，且各投标单位没在规定期限内提出异议，决算时不得调整造价，视为该项费用已包括在投标总价内。</w:t>
            </w:r>
          </w:p>
          <w:p>
            <w:pPr>
              <w:adjustRightInd w:val="0"/>
              <w:snapToGrid w:val="0"/>
              <w:spacing w:before="48" w:beforeLines="20" w:after="48" w:afterLines="2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后期结算过程中利用采购人发布的工程量清单及分项组价作为结算依据。为规范工程结算管理， 发布采购文件时， 最高投标限价、工程量清单及工程项目最高投标限价汇总表、单项工程组价汇总表、单位工程组价汇总表、分部分项工程量清单计价表、措施项目清单计价表、其他项目清单计价汇总表、规费、税金项目清单计价表、主要材料价格表等一同发布，以利于后期作为结算的依据。</w:t>
            </w:r>
          </w:p>
          <w:p>
            <w:pPr>
              <w:adjustRightInd w:val="0"/>
              <w:snapToGrid w:val="0"/>
              <w:spacing w:before="48" w:beforeLines="20" w:after="48" w:afterLines="20" w:line="360" w:lineRule="auto"/>
              <w:rPr>
                <w:rFonts w:cs="仿宋"/>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□固定单价合同</w:t>
            </w:r>
          </w:p>
          <w:p>
            <w:pPr>
              <w:adjustRightInd w:val="0"/>
              <w:snapToGrid w:val="0"/>
              <w:spacing w:before="48" w:beforeLines="20" w:after="48" w:afterLines="20" w:line="360" w:lineRule="auto"/>
              <w:ind w:firstLine="420" w:firstLineChars="200"/>
              <w:rPr>
                <w:rFonts w:cs="仿宋"/>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投标人投标时采用固定总价报价方式，投标人不再对清单进行分项报价。通过</w:t>
            </w:r>
            <w:r>
              <w:rPr>
                <w:rFonts w:hint="eastAsia" w:cs="仿宋"/>
                <w:color w:val="000000" w:themeColor="text1"/>
                <w:sz w:val="21"/>
                <w:szCs w:val="21"/>
                <w14:textFill>
                  <w14:solidFill>
                    <w14:schemeClr w14:val="tx1"/>
                  </w14:solidFill>
                </w14:textFill>
              </w:rPr>
              <w:t>投标报价浮动率 =【投标报价-（ 暂估价、暂列金额）】/【最高投标限价-（暂估价、暂列金额）】*100%（</w:t>
            </w:r>
            <w:r>
              <w:rPr>
                <w:rFonts w:hint="eastAsia"/>
                <w:bCs/>
                <w:color w:val="000000" w:themeColor="text1"/>
                <w:sz w:val="21"/>
                <w:szCs w:val="21"/>
                <w14:textFill>
                  <w14:solidFill>
                    <w14:schemeClr w14:val="tx1"/>
                  </w14:solidFill>
                </w14:textFill>
              </w:rPr>
              <w:t>保留两位小数，小数点后第三位四舍五入</w:t>
            </w:r>
            <w:r>
              <w:rPr>
                <w:rFonts w:hint="eastAsia" w:cs="仿宋"/>
                <w:color w:val="000000" w:themeColor="text1"/>
                <w:sz w:val="21"/>
                <w:szCs w:val="21"/>
                <w14:textFill>
                  <w14:solidFill>
                    <w14:schemeClr w14:val="tx1"/>
                  </w14:solidFill>
                </w14:textFill>
              </w:rPr>
              <w:t>）计算出固定单价</w:t>
            </w:r>
            <w:r>
              <w:rPr>
                <w:rFonts w:hint="eastAsia"/>
                <w:color w:val="000000" w:themeColor="text1"/>
                <w:sz w:val="21"/>
                <w:szCs w:val="21"/>
                <w14:textFill>
                  <w14:solidFill>
                    <w14:schemeClr w14:val="tx1"/>
                  </w14:solidFill>
                </w14:textFill>
              </w:rPr>
              <w:t xml:space="preserve">。 </w:t>
            </w:r>
          </w:p>
          <w:p>
            <w:pPr>
              <w:adjustRightInd w:val="0"/>
              <w:snapToGrid w:val="0"/>
              <w:spacing w:before="48" w:beforeLines="20" w:after="48" w:afterLines="20" w:line="360" w:lineRule="auto"/>
              <w:ind w:firstLine="420" w:firstLineChars="200"/>
              <w:rPr>
                <w:rFonts w:cs="仿宋"/>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最高投标限价组价的确认：采购人编制的工程量清单及最高投标限价作为本次投标报价的基础依据，投标人应在投标答疑截止时间前根据施工图对采购人提供的最高投标限价组价进行核算并提出异议。若投标人在规定的期限内提出异议，并提供相应的计算依据，以利采购人及时核对，开标后最高投标限价组价一律不予调整。 </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技术规范要求的费用应包括在投标报价中。在设计图中如无图示或未表达明确的，且各投标单位没在规定期限内提出异议，决算时不得调整造价，视为该项费用已包括在投标总价内。</w:t>
            </w: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后期结算过程中利用采购人发布的工程量清单及分项组价作为结算依据。为规范工程结算管理， 发布采购文件时， 最高投标限价、工程量清单及工程项目最高投标限价汇总表、单项工程组价汇总表、单位工程组价汇总表、分部分项工程量清单计价表、措施项目清单计价表、其他项目清单计价汇总表、规费、税金项目清单计价表、主要材料价格表等一同发布，以利于后期作为结算的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before="95" w:line="360" w:lineRule="auto"/>
              <w:ind w:right="133"/>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22.8</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before="95" w:line="360" w:lineRule="auto"/>
              <w:ind w:left="107"/>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最后报价扣除</w:t>
            </w:r>
          </w:p>
        </w:tc>
        <w:tc>
          <w:tcPr>
            <w:tcW w:w="3155"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48" w:beforeLines="20" w:after="48" w:afterLines="20" w:line="360" w:lineRule="auto"/>
              <w:rPr>
                <w:color w:val="000000" w:themeColor="text1"/>
                <w:sz w:val="21"/>
                <w:szCs w:val="21"/>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551" w:type="pct"/>
            <w:vMerge w:val="restart"/>
            <w:tcBorders>
              <w:top w:val="single" w:color="000000" w:sz="4" w:space="0"/>
              <w:left w:val="single" w:color="000000" w:sz="4" w:space="0"/>
              <w:bottom w:val="single" w:color="000000" w:sz="4" w:space="0"/>
              <w:right w:val="single" w:color="000000" w:sz="4" w:space="0"/>
            </w:tcBorders>
            <w:vAlign w:val="center"/>
          </w:tcPr>
          <w:p>
            <w:pPr>
              <w:pStyle w:val="69"/>
              <w:spacing w:before="95" w:line="360" w:lineRule="auto"/>
              <w:ind w:right="133"/>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24.1</w:t>
            </w:r>
          </w:p>
        </w:tc>
        <w:tc>
          <w:tcPr>
            <w:tcW w:w="1293" w:type="pct"/>
            <w:vMerge w:val="restart"/>
            <w:tcBorders>
              <w:top w:val="single" w:color="000000" w:sz="4" w:space="0"/>
              <w:left w:val="single" w:color="000000" w:sz="4" w:space="0"/>
              <w:bottom w:val="single" w:color="000000" w:sz="4" w:space="0"/>
              <w:right w:val="single" w:color="000000" w:sz="4" w:space="0"/>
            </w:tcBorders>
            <w:vAlign w:val="center"/>
          </w:tcPr>
          <w:p>
            <w:pPr>
              <w:pStyle w:val="69"/>
              <w:spacing w:before="95"/>
              <w:ind w:left="107"/>
              <w:jc w:val="center"/>
              <w:rPr>
                <w:color w:val="000000" w:themeColor="text1"/>
                <w:sz w:val="21"/>
                <w:szCs w:val="21"/>
                <w:lang w:eastAsia="en-US"/>
                <w14:textFill>
                  <w14:solidFill>
                    <w14:schemeClr w14:val="tx1"/>
                  </w14:solidFill>
                </w14:textFill>
              </w:rPr>
            </w:pPr>
            <w:r>
              <w:rPr>
                <w:rFonts w:hint="eastAsia"/>
                <w:color w:val="000000" w:themeColor="text1"/>
                <w:sz w:val="21"/>
                <w:szCs w:val="21"/>
                <w14:textFill>
                  <w14:solidFill>
                    <w14:schemeClr w14:val="tx1"/>
                  </w14:solidFill>
                </w14:textFill>
              </w:rPr>
              <w:t>确定成交候选人和成交供应商</w:t>
            </w:r>
          </w:p>
        </w:tc>
        <w:tc>
          <w:tcPr>
            <w:tcW w:w="3155"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48" w:beforeLines="20" w:after="48" w:afterLines="20"/>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谈判小组推荐成交候选人的数量：3名</w:t>
            </w:r>
            <w:r>
              <w:rPr>
                <w:rFonts w:hint="eastAsia"/>
                <w:color w:val="000000" w:themeColor="text1"/>
                <w:sz w:val="21"/>
                <w:szCs w:val="21"/>
                <w:lang w:val="en-US" w:eastAsia="zh-CN"/>
                <w14:textFill>
                  <w14:solidFill>
                    <w14:schemeClr w14:val="tx1"/>
                  </w14:solidFill>
                </w14:textFill>
              </w:rPr>
              <w:t>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551" w:type="pct"/>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jc w:val="center"/>
              <w:rPr>
                <w:color w:val="000000" w:themeColor="text1"/>
                <w:sz w:val="21"/>
                <w:szCs w:val="21"/>
                <w14:textFill>
                  <w14:solidFill>
                    <w14:schemeClr w14:val="tx1"/>
                  </w14:solidFill>
                </w14:textFill>
              </w:rPr>
            </w:pPr>
          </w:p>
        </w:tc>
        <w:tc>
          <w:tcPr>
            <w:tcW w:w="1293" w:type="pct"/>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jc w:val="center"/>
              <w:rPr>
                <w:color w:val="000000" w:themeColor="text1"/>
                <w:sz w:val="21"/>
                <w:szCs w:val="21"/>
                <w14:textFill>
                  <w14:solidFill>
                    <w14:schemeClr w14:val="tx1"/>
                  </w14:solidFill>
                </w14:textFill>
              </w:rPr>
            </w:pPr>
          </w:p>
        </w:tc>
        <w:tc>
          <w:tcPr>
            <w:tcW w:w="3155"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48" w:beforeLines="20" w:after="48" w:afterLines="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确定成交供应商：☑采购人确定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before="95" w:line="360" w:lineRule="auto"/>
              <w:ind w:right="133"/>
              <w:jc w:val="center"/>
              <w:rPr>
                <w:color w:val="000000" w:themeColor="text1"/>
                <w:sz w:val="21"/>
                <w:szCs w:val="21"/>
                <w14:textFill>
                  <w14:solidFill>
                    <w14:schemeClr w14:val="tx1"/>
                  </w14:solidFill>
                </w14:textFill>
              </w:rPr>
            </w:pPr>
            <w:r>
              <w:rPr>
                <w:rFonts w:hint="eastAsia"/>
                <w:color w:val="000000" w:themeColor="text1"/>
                <w:sz w:val="21"/>
                <w:szCs w:val="21"/>
                <w:lang w:eastAsia="en-US"/>
                <w14:textFill>
                  <w14:solidFill>
                    <w14:schemeClr w14:val="tx1"/>
                  </w14:solidFill>
                </w14:textFill>
              </w:rPr>
              <w:t>28.1</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ind w:left="107"/>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成交通知书发出</w:t>
            </w:r>
          </w:p>
          <w:p>
            <w:pPr>
              <w:pStyle w:val="69"/>
              <w:spacing w:before="95"/>
              <w:ind w:left="107"/>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的形式</w:t>
            </w:r>
          </w:p>
        </w:tc>
        <w:tc>
          <w:tcPr>
            <w:tcW w:w="3155"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48" w:beforeLines="20" w:after="48" w:afterLines="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en-US"/>
                <w14:textFill>
                  <w14:solidFill>
                    <w14:schemeClr w14:val="tx1"/>
                  </w14:solidFill>
                </w14:textFill>
              </w:rPr>
              <w:t>书面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before="95" w:line="360" w:lineRule="auto"/>
              <w:ind w:right="133"/>
              <w:jc w:val="center"/>
              <w:rPr>
                <w:color w:val="000000" w:themeColor="text1"/>
                <w:sz w:val="21"/>
                <w:szCs w:val="21"/>
                <w14:textFill>
                  <w14:solidFill>
                    <w14:schemeClr w14:val="tx1"/>
                  </w14:solidFill>
                </w14:textFill>
              </w:rPr>
            </w:pPr>
            <w:r>
              <w:rPr>
                <w:rFonts w:hint="eastAsia"/>
                <w:color w:val="000000" w:themeColor="text1"/>
                <w:sz w:val="21"/>
                <w:szCs w:val="21"/>
                <w:lang w:eastAsia="en-US"/>
                <w14:textFill>
                  <w14:solidFill>
                    <w14:schemeClr w14:val="tx1"/>
                  </w14:solidFill>
                </w14:textFill>
              </w:rPr>
              <w:t>30.1</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before="95"/>
              <w:ind w:left="107"/>
              <w:jc w:val="center"/>
              <w:rPr>
                <w:color w:val="000000" w:themeColor="text1"/>
                <w:sz w:val="21"/>
                <w:szCs w:val="21"/>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履约保证金</w:t>
            </w:r>
          </w:p>
        </w:tc>
        <w:tc>
          <w:tcPr>
            <w:tcW w:w="3155"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48" w:beforeLines="20" w:after="48" w:afterLines="20" w:line="360" w:lineRule="auto"/>
              <w:rPr>
                <w:rFonts w:hint="eastAsia"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w:t>
            </w:r>
            <w:r>
              <w:rPr>
                <w:rFonts w:cs="Times New Roman"/>
                <w:color w:val="000000" w:themeColor="text1"/>
                <w:kern w:val="2"/>
                <w:sz w:val="21"/>
                <w:szCs w:val="21"/>
                <w:lang w:val="en-US" w:bidi="ar-SA"/>
                <w14:textFill>
                  <w14:solidFill>
                    <w14:schemeClr w14:val="tx1"/>
                  </w14:solidFill>
                </w14:textFill>
              </w:rPr>
              <w:t>1）金额：</w:t>
            </w:r>
            <w:r>
              <w:rPr>
                <w:rFonts w:hint="eastAsia" w:cs="Times New Roman"/>
                <w:color w:val="000000" w:themeColor="text1"/>
                <w:kern w:val="2"/>
                <w:sz w:val="21"/>
                <w:szCs w:val="21"/>
                <w:lang w:val="en-US" w:bidi="ar-SA"/>
                <w14:textFill>
                  <w14:solidFill>
                    <w14:schemeClr w14:val="tx1"/>
                  </w14:solidFill>
                </w14:textFill>
              </w:rPr>
              <w:t>合同价的 2 %</w:t>
            </w:r>
          </w:p>
          <w:p>
            <w:pPr>
              <w:adjustRightInd w:val="0"/>
              <w:snapToGrid w:val="0"/>
              <w:spacing w:before="48" w:beforeLines="20" w:after="48" w:afterLines="20" w:line="360" w:lineRule="auto"/>
              <w:rPr>
                <w:rFonts w:hint="eastAsia"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（2）支付方式：转账/电汇</w:t>
            </w:r>
          </w:p>
          <w:p>
            <w:pPr>
              <w:adjustRightInd w:val="0"/>
              <w:snapToGrid w:val="0"/>
              <w:spacing w:before="48" w:beforeLines="20" w:after="48" w:afterLines="20" w:line="360" w:lineRule="auto"/>
              <w:rPr>
                <w:rFonts w:hint="eastAsia"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（3）收取单位：阜阳市城市资产投资经营有限责任公司</w:t>
            </w:r>
          </w:p>
          <w:p>
            <w:pPr>
              <w:adjustRightInd w:val="0"/>
              <w:snapToGrid w:val="0"/>
              <w:spacing w:before="48" w:beforeLines="20" w:after="48" w:afterLines="20" w:line="360" w:lineRule="auto"/>
              <w:rPr>
                <w:rFonts w:hint="eastAsia"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（4）缴纳时间：签订合同时</w:t>
            </w:r>
          </w:p>
          <w:p>
            <w:pPr>
              <w:adjustRightInd w:val="0"/>
              <w:snapToGrid w:val="0"/>
              <w:spacing w:before="48" w:beforeLines="20" w:after="48" w:afterLines="20" w:line="360" w:lineRule="auto"/>
              <w:rPr>
                <w:color w:val="000000" w:themeColor="text1"/>
                <w:sz w:val="21"/>
                <w:szCs w:val="21"/>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（5）退还时间：合同履约完成后（以现金或者转账方式缴纳的应退还银行活期利息）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before="95"/>
              <w:ind w:right="133"/>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31.1</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before="95"/>
              <w:jc w:val="center"/>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成交服务费</w:t>
            </w:r>
          </w:p>
        </w:tc>
        <w:tc>
          <w:tcPr>
            <w:tcW w:w="3155" w:type="pct"/>
            <w:tcBorders>
              <w:top w:val="single" w:color="000000" w:sz="4" w:space="0"/>
              <w:left w:val="single" w:color="000000" w:sz="4" w:space="0"/>
              <w:bottom w:val="single" w:color="000000" w:sz="4" w:space="0"/>
              <w:right w:val="single" w:color="000000" w:sz="4" w:space="0"/>
            </w:tcBorders>
            <w:vAlign w:val="center"/>
          </w:tcPr>
          <w:p>
            <w:pPr>
              <w:pStyle w:val="68"/>
              <w:numPr>
                <w:ilvl w:val="0"/>
                <w:numId w:val="1"/>
              </w:numPr>
              <w:spacing w:line="360" w:lineRule="auto"/>
              <w:outlineLvl w:val="3"/>
            </w:pPr>
            <w:r>
              <w:rPr>
                <w:rFonts w:hint="eastAsia"/>
              </w:rPr>
              <w:t>成交服务费：定额收取</w:t>
            </w:r>
            <w:r>
              <w:rPr>
                <w:rFonts w:hint="eastAsia"/>
                <w:lang w:val="en-US" w:eastAsia="zh-CN"/>
              </w:rPr>
              <w:t>3000</w:t>
            </w:r>
            <w:r>
              <w:rPr>
                <w:rFonts w:hint="eastAsia"/>
                <w:lang w:val="en-US"/>
              </w:rPr>
              <w:t>元</w:t>
            </w:r>
            <w:r>
              <w:rPr>
                <w:rFonts w:hint="eastAsia"/>
              </w:rPr>
              <w:t>。</w:t>
            </w:r>
          </w:p>
          <w:p>
            <w:pPr>
              <w:autoSpaceDE w:val="0"/>
              <w:autoSpaceDN w:val="0"/>
              <w:spacing w:line="360" w:lineRule="auto"/>
              <w:rPr>
                <w:rFonts w:hint="eastAsia"/>
                <w:lang w:val="en-US" w:eastAsia="zh-CN"/>
              </w:rPr>
            </w:pPr>
            <w:r>
              <w:rPr>
                <w:rFonts w:hint="eastAsia"/>
                <w:lang w:val="en-US" w:eastAsia="zh-CN"/>
              </w:rPr>
              <w:t>注：</w:t>
            </w:r>
          </w:p>
          <w:p>
            <w:pPr>
              <w:autoSpaceDE w:val="0"/>
              <w:autoSpaceDN w:val="0"/>
              <w:spacing w:line="360" w:lineRule="auto"/>
              <w:rPr>
                <w:rFonts w:hint="eastAsia"/>
                <w:lang w:val="en-US" w:eastAsia="zh-CN"/>
              </w:rPr>
            </w:pPr>
            <w:r>
              <w:rPr>
                <w:rFonts w:hint="eastAsia"/>
                <w:lang w:val="en-US" w:eastAsia="zh-CN"/>
              </w:rPr>
              <w:t xml:space="preserve">以上费用不单独列出，响应供应商自行考虑在投标报价中，成交人领取成交通知书前支付以上费用，必须从企业账户转入阜阳市同创投资咨询管理有限公司账户。 </w:t>
            </w:r>
          </w:p>
          <w:p>
            <w:pPr>
              <w:autoSpaceDE w:val="0"/>
              <w:autoSpaceDN w:val="0"/>
              <w:spacing w:line="360" w:lineRule="auto"/>
              <w:rPr>
                <w:rFonts w:hint="eastAsia"/>
                <w:lang w:val="en-US" w:eastAsia="zh-CN"/>
              </w:rPr>
            </w:pPr>
            <w:r>
              <w:rPr>
                <w:rFonts w:hint="eastAsia"/>
                <w:lang w:val="en-US" w:eastAsia="zh-CN"/>
              </w:rPr>
              <w:t>收取方式：转账（转款时请备注：XXX项目采购代理费）</w:t>
            </w:r>
          </w:p>
          <w:p>
            <w:pPr>
              <w:autoSpaceDE w:val="0"/>
              <w:autoSpaceDN w:val="0"/>
              <w:spacing w:line="360" w:lineRule="auto"/>
              <w:rPr>
                <w:rFonts w:hint="eastAsia"/>
                <w:lang w:val="en-US" w:eastAsia="zh-CN"/>
              </w:rPr>
            </w:pPr>
            <w:r>
              <w:rPr>
                <w:rFonts w:hint="eastAsia"/>
                <w:lang w:val="en-US" w:eastAsia="zh-CN"/>
              </w:rPr>
              <w:t>公司名称：阜阳市同创投资咨询管理有限公司</w:t>
            </w:r>
          </w:p>
          <w:p>
            <w:pPr>
              <w:autoSpaceDE w:val="0"/>
              <w:autoSpaceDN w:val="0"/>
              <w:spacing w:line="360" w:lineRule="auto"/>
              <w:rPr>
                <w:rFonts w:hint="eastAsia"/>
                <w:lang w:val="en-US" w:eastAsia="zh-CN"/>
              </w:rPr>
            </w:pPr>
            <w:r>
              <w:rPr>
                <w:rFonts w:hint="eastAsia"/>
                <w:lang w:val="en-US" w:eastAsia="zh-CN"/>
              </w:rPr>
              <w:t>开户银行：阜阳颍东农村商业银行股份有限公司颍州路支行</w:t>
            </w:r>
          </w:p>
          <w:p>
            <w:pPr>
              <w:rPr>
                <w:rFonts w:hint="eastAsia"/>
                <w:lang w:val="en-US" w:eastAsia="zh-CN"/>
              </w:rPr>
            </w:pPr>
            <w:r>
              <w:rPr>
                <w:rFonts w:hint="eastAsia"/>
                <w:lang w:val="en-US" w:eastAsia="zh-CN"/>
              </w:rPr>
              <w:t>账号：2000 0614 2558 1030 0000 122</w:t>
            </w:r>
          </w:p>
          <w:p>
            <w:pPr>
              <w:pStyle w:val="2"/>
            </w:pPr>
          </w:p>
          <w:p>
            <w:pPr>
              <w:pStyle w:val="68"/>
              <w:numPr>
                <w:ilvl w:val="0"/>
                <w:numId w:val="1"/>
              </w:numPr>
              <w:spacing w:line="360" w:lineRule="auto"/>
              <w:rPr>
                <w:lang w:val="en-US"/>
              </w:rPr>
            </w:pPr>
            <w:r>
              <w:rPr>
                <w:rFonts w:hint="eastAsia"/>
                <w:lang w:val="en-US"/>
              </w:rPr>
              <w:t>工程量清单及最高投标限价编制费：定额收取</w:t>
            </w:r>
            <w:r>
              <w:rPr>
                <w:rFonts w:hint="eastAsia"/>
                <w:lang w:val="en-US" w:eastAsia="zh-CN"/>
              </w:rPr>
              <w:t>1000</w:t>
            </w:r>
            <w:r>
              <w:rPr>
                <w:rFonts w:hint="eastAsia"/>
                <w:lang w:val="en-US"/>
              </w:rPr>
              <w:t>元。</w:t>
            </w:r>
          </w:p>
          <w:p>
            <w:pPr>
              <w:autoSpaceDE w:val="0"/>
              <w:autoSpaceDN w:val="0"/>
              <w:spacing w:line="360" w:lineRule="auto"/>
              <w:rPr>
                <w:rFonts w:hint="eastAsia"/>
                <w:lang w:val="en-US" w:eastAsia="zh-CN"/>
              </w:rPr>
            </w:pPr>
            <w:r>
              <w:rPr>
                <w:rFonts w:hint="eastAsia"/>
                <w:lang w:val="en-US" w:eastAsia="zh-CN"/>
              </w:rPr>
              <w:t>注：</w:t>
            </w:r>
          </w:p>
          <w:p>
            <w:pPr>
              <w:autoSpaceDE w:val="0"/>
              <w:autoSpaceDN w:val="0"/>
              <w:spacing w:line="360" w:lineRule="auto"/>
              <w:rPr>
                <w:rFonts w:hint="eastAsia"/>
                <w:lang w:val="en-US" w:eastAsia="zh-CN"/>
              </w:rPr>
            </w:pPr>
            <w:r>
              <w:rPr>
                <w:rFonts w:hint="eastAsia"/>
                <w:lang w:val="en-US" w:eastAsia="zh-CN"/>
              </w:rPr>
              <w:t xml:space="preserve">以上费用不单独列出，响应供应商自行考虑在投标报价中，成交人领取成交通知书前支付以上费用，必须从企业账户转入阜阳市同创投资咨询管理有限公司账户。 </w:t>
            </w:r>
          </w:p>
          <w:p>
            <w:pPr>
              <w:autoSpaceDE w:val="0"/>
              <w:autoSpaceDN w:val="0"/>
              <w:spacing w:line="360" w:lineRule="auto"/>
              <w:rPr>
                <w:rFonts w:hint="eastAsia"/>
                <w:lang w:val="en-US" w:eastAsia="zh-CN"/>
              </w:rPr>
            </w:pPr>
            <w:r>
              <w:rPr>
                <w:rFonts w:hint="eastAsia"/>
                <w:lang w:val="en-US" w:eastAsia="zh-CN"/>
              </w:rPr>
              <w:t>收取方式：转账（转款时请备注：XXX工程量清单及最高投标限价编制费）</w:t>
            </w:r>
          </w:p>
          <w:p>
            <w:pPr>
              <w:autoSpaceDE w:val="0"/>
              <w:autoSpaceDN w:val="0"/>
              <w:spacing w:line="360" w:lineRule="auto"/>
              <w:rPr>
                <w:rFonts w:hint="eastAsia"/>
                <w:lang w:val="en-US" w:eastAsia="zh-CN"/>
              </w:rPr>
            </w:pPr>
            <w:r>
              <w:rPr>
                <w:rFonts w:hint="eastAsia"/>
                <w:lang w:val="en-US" w:eastAsia="zh-CN"/>
              </w:rPr>
              <w:t>公司名称：龙达恒信工程咨询有限公司</w:t>
            </w:r>
          </w:p>
          <w:p>
            <w:pPr>
              <w:autoSpaceDE w:val="0"/>
              <w:autoSpaceDN w:val="0"/>
              <w:spacing w:line="360" w:lineRule="auto"/>
              <w:rPr>
                <w:rFonts w:hint="eastAsia"/>
                <w:lang w:val="en-US" w:eastAsia="zh-CN"/>
              </w:rPr>
            </w:pPr>
            <w:r>
              <w:rPr>
                <w:rFonts w:hint="eastAsia"/>
                <w:lang w:val="en-US" w:eastAsia="zh-CN"/>
              </w:rPr>
              <w:t>开户银行：中信银行济南经十路支行</w:t>
            </w:r>
          </w:p>
          <w:p>
            <w:pPr>
              <w:jc w:val="both"/>
              <w:rPr>
                <w:rFonts w:hint="eastAsia"/>
                <w:lang w:val="en-US" w:eastAsia="zh-CN"/>
              </w:rPr>
            </w:pPr>
            <w:r>
              <w:rPr>
                <w:rFonts w:hint="eastAsia"/>
                <w:lang w:val="en-US" w:eastAsia="zh-CN"/>
              </w:rPr>
              <w:t>账号：7372510182600081918</w:t>
            </w:r>
          </w:p>
          <w:p>
            <w:pPr>
              <w:pStyle w:val="2"/>
              <w:ind w:left="0" w:leftChars="0" w:firstLine="0" w:firstLineChars="0"/>
              <w:rPr>
                <w:lang w:eastAsia="en-US"/>
              </w:rPr>
            </w:pPr>
            <w:r>
              <w:rPr>
                <w:rFonts w:hint="eastAsia" w:ascii="宋体" w:hAnsi="宋体" w:eastAsia="宋体" w:cs="宋体"/>
                <w:sz w:val="22"/>
                <w:szCs w:val="22"/>
                <w:lang w:val="en-US" w:eastAsia="en-US" w:bidi="zh-CN"/>
              </w:rPr>
              <w:t>济南市经十路619号凤鸣山庄58号0531--62325160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before="1" w:line="360" w:lineRule="auto"/>
              <w:ind w:left="140" w:right="133"/>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4.3</w:t>
            </w:r>
          </w:p>
        </w:tc>
        <w:tc>
          <w:tcPr>
            <w:tcW w:w="1293"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质疑函递交的方式</w:t>
            </w:r>
          </w:p>
        </w:tc>
        <w:tc>
          <w:tcPr>
            <w:tcW w:w="3155"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接收部门： 阜阳市城市资产投资经营有限责任公司、阜阳市同创投资咨询管理有限公司</w:t>
            </w:r>
          </w:p>
          <w:p>
            <w:pPr>
              <w:autoSpaceDE w:val="0"/>
              <w:autoSpaceDN w:val="0"/>
              <w:spacing w:line="360" w:lineRule="auto"/>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 xml:space="preserve">联系电话： </w:t>
            </w:r>
            <w:r>
              <w:rPr>
                <w:rFonts w:hint="eastAsia" w:ascii="宋体" w:hAnsi="宋体" w:cs="宋体"/>
                <w:color w:val="auto"/>
                <w:kern w:val="0"/>
                <w:szCs w:val="21"/>
                <w:highlight w:val="none"/>
                <w:lang w:val="en-US" w:bidi="zh-CN"/>
              </w:rPr>
              <w:t>0558-3681589</w:t>
            </w:r>
            <w:r>
              <w:rPr>
                <w:rFonts w:hint="eastAsia" w:ascii="宋体" w:hAnsi="宋体" w:cs="宋体"/>
                <w:color w:val="auto"/>
                <w:kern w:val="0"/>
                <w:szCs w:val="21"/>
                <w:highlight w:val="none"/>
                <w:lang w:val="zh-CN" w:bidi="zh-CN"/>
              </w:rPr>
              <w:t>、</w:t>
            </w:r>
            <w:r>
              <w:rPr>
                <w:rFonts w:hint="eastAsia" w:ascii="宋体" w:hAnsi="宋体" w:cs="宋体"/>
                <w:color w:val="auto"/>
                <w:kern w:val="0"/>
                <w:szCs w:val="21"/>
                <w:highlight w:val="none"/>
                <w:lang w:val="en-US" w:bidi="zh-CN"/>
              </w:rPr>
              <w:t>0558-2166016</w:t>
            </w:r>
            <w:r>
              <w:rPr>
                <w:rFonts w:hint="eastAsia" w:ascii="宋体" w:hAnsi="宋体" w:cs="宋体"/>
                <w:color w:val="auto"/>
                <w:kern w:val="0"/>
                <w:szCs w:val="21"/>
                <w:highlight w:val="none"/>
                <w:lang w:val="zh-CN" w:bidi="zh-CN"/>
              </w:rPr>
              <w:t xml:space="preserve">  </w:t>
            </w:r>
          </w:p>
          <w:p>
            <w:pPr>
              <w:autoSpaceDE w:val="0"/>
              <w:autoSpaceDN w:val="0"/>
              <w:spacing w:line="360" w:lineRule="auto"/>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 xml:space="preserve">电子邮箱： </w:t>
            </w:r>
            <w:r>
              <w:rPr>
                <w:rFonts w:hint="eastAsia" w:ascii="宋体" w:hAnsi="宋体" w:cs="宋体"/>
                <w:color w:val="auto"/>
                <w:kern w:val="0"/>
                <w:szCs w:val="21"/>
                <w:highlight w:val="none"/>
                <w:lang w:val="en-US" w:bidi="zh-CN"/>
              </w:rPr>
              <w:t>370509802@qq.com</w:t>
            </w:r>
            <w:r>
              <w:rPr>
                <w:rFonts w:hint="eastAsia" w:ascii="宋体" w:hAnsi="宋体" w:cs="宋体"/>
                <w:color w:val="auto"/>
                <w:kern w:val="0"/>
                <w:szCs w:val="21"/>
                <w:highlight w:val="none"/>
                <w:lang w:val="zh-CN" w:bidi="zh-CN"/>
              </w:rPr>
              <w:t xml:space="preserve"> </w:t>
            </w:r>
          </w:p>
          <w:p>
            <w:pPr>
              <w:spacing w:line="360" w:lineRule="auto"/>
              <w:rPr>
                <w:color w:val="000000" w:themeColor="text1"/>
                <w:sz w:val="21"/>
                <w:szCs w:val="21"/>
                <w14:textFill>
                  <w14:solidFill>
                    <w14:schemeClr w14:val="tx1"/>
                  </w14:solidFill>
                </w14:textFill>
              </w:rPr>
            </w:pPr>
            <w:r>
              <w:rPr>
                <w:rFonts w:hint="eastAsia" w:ascii="宋体" w:hAnsi="宋体" w:cs="宋体"/>
                <w:color w:val="auto"/>
                <w:kern w:val="0"/>
                <w:szCs w:val="21"/>
                <w:highlight w:val="none"/>
                <w:lang w:val="zh-CN" w:bidi="zh-CN"/>
              </w:rPr>
              <w:t xml:space="preserve">通讯地址： </w:t>
            </w:r>
            <w:r>
              <w:rPr>
                <w:rFonts w:hint="eastAsia" w:ascii="宋体" w:hAnsi="宋体" w:cs="宋体"/>
                <w:color w:val="auto"/>
                <w:kern w:val="0"/>
                <w:szCs w:val="21"/>
                <w:highlight w:val="none"/>
                <w:lang w:val="en-US" w:bidi="zh-CN"/>
              </w:rPr>
              <w:t>阜阳市颍州区淮河路2000号建投大厦</w:t>
            </w:r>
            <w:r>
              <w:rPr>
                <w:rFonts w:hint="eastAsia" w:ascii="宋体" w:hAnsi="宋体" w:cs="宋体"/>
                <w:color w:val="auto"/>
                <w:kern w:val="0"/>
                <w:szCs w:val="21"/>
                <w:highlight w:val="none"/>
                <w:lang w:val="zh-CN" w:bidi="zh-CN"/>
              </w:rPr>
              <w:t xml:space="preserve">、阜阳市市民中心三楼6号厅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before="98" w:line="360" w:lineRule="auto"/>
              <w:ind w:left="140" w:right="133"/>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35</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before="98" w:line="360" w:lineRule="auto"/>
              <w:ind w:left="107"/>
              <w:jc w:val="center"/>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其他内容</w:t>
            </w:r>
          </w:p>
        </w:tc>
        <w:tc>
          <w:tcPr>
            <w:tcW w:w="3155"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rPr>
                <w:b/>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w:t>
            </w:r>
            <w:r>
              <w:rPr>
                <w:rFonts w:hint="eastAsia"/>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ind w:left="140" w:right="133"/>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35.3</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ind w:left="107"/>
              <w:jc w:val="center"/>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计划工期</w:t>
            </w:r>
          </w:p>
        </w:tc>
        <w:tc>
          <w:tcPr>
            <w:tcW w:w="3155" w:type="pct"/>
            <w:tcBorders>
              <w:top w:val="single" w:color="000000" w:sz="4" w:space="0"/>
              <w:left w:val="single" w:color="000000" w:sz="4" w:space="0"/>
              <w:bottom w:val="single" w:color="000000" w:sz="4" w:space="0"/>
              <w:right w:val="single" w:color="000000" w:sz="4" w:space="0"/>
            </w:tcBorders>
            <w:vAlign w:val="center"/>
          </w:tcPr>
          <w:p>
            <w:pPr>
              <w:pStyle w:val="69"/>
              <w:tabs>
                <w:tab w:val="left" w:pos="2265"/>
              </w:tabs>
              <w:spacing w:before="79"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计划工期：</w:t>
            </w:r>
            <w:r>
              <w:rPr>
                <w:rFonts w:hint="eastAsia"/>
                <w:color w:val="000000" w:themeColor="text1"/>
                <w:sz w:val="21"/>
                <w:szCs w:val="21"/>
                <w:u w:val="single"/>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日历天</w:t>
            </w:r>
          </w:p>
          <w:p>
            <w:pPr>
              <w:pStyle w:val="69"/>
              <w:tabs>
                <w:tab w:val="left" w:pos="2222"/>
              </w:tabs>
              <w:spacing w:before="8" w:line="360" w:lineRule="auto"/>
              <w:ind w:right="9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计划开工日期：</w:t>
            </w:r>
            <w:r>
              <w:rPr>
                <w:rFonts w:hint="eastAsia"/>
                <w:color w:val="000000" w:themeColor="text1"/>
                <w:sz w:val="21"/>
                <w:szCs w:val="21"/>
                <w:u w:val="single"/>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年</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月</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日，具体开工时间以开工令为准。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before="120" w:beforeLines="50" w:line="360" w:lineRule="auto"/>
              <w:ind w:left="142" w:right="130"/>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35.4</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before="120" w:beforeLines="50" w:line="360" w:lineRule="auto"/>
              <w:ind w:left="108"/>
              <w:jc w:val="center"/>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质量标准要求</w:t>
            </w:r>
          </w:p>
        </w:tc>
        <w:tc>
          <w:tcPr>
            <w:tcW w:w="3155" w:type="pct"/>
            <w:tcBorders>
              <w:top w:val="single" w:color="000000" w:sz="4" w:space="0"/>
              <w:left w:val="single" w:color="000000" w:sz="4" w:space="0"/>
              <w:bottom w:val="single" w:color="000000" w:sz="4" w:space="0"/>
              <w:right w:val="single" w:color="000000" w:sz="4" w:space="0"/>
            </w:tcBorders>
            <w:vAlign w:val="center"/>
          </w:tcPr>
          <w:p>
            <w:pPr>
              <w:pStyle w:val="69"/>
              <w:spacing w:before="79" w:line="360" w:lineRule="auto"/>
              <w:ind w:left="10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质量标准：合格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before="1" w:line="360" w:lineRule="auto"/>
              <w:ind w:left="140" w:right="133"/>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5.5</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ind w:left="107" w:right="152"/>
              <w:jc w:val="center"/>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项目经理其他要求</w:t>
            </w:r>
          </w:p>
        </w:tc>
        <w:tc>
          <w:tcPr>
            <w:tcW w:w="3155" w:type="pct"/>
            <w:tcBorders>
              <w:top w:val="single" w:color="000000" w:sz="4" w:space="0"/>
              <w:left w:val="single" w:color="000000" w:sz="4" w:space="0"/>
              <w:bottom w:val="single" w:color="000000" w:sz="4" w:space="0"/>
              <w:right w:val="single" w:color="000000" w:sz="4" w:space="0"/>
            </w:tcBorders>
            <w:vAlign w:val="center"/>
          </w:tcPr>
          <w:p>
            <w:pPr>
              <w:pStyle w:val="69"/>
              <w:spacing w:before="81" w:line="360" w:lineRule="auto"/>
              <w:ind w:left="105" w:right="9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（1）项目经理具备资格见公告要求（必须是本单位人员），项目经理必须具备有效的安全生产考核合格</w:t>
            </w:r>
            <w:r>
              <w:rPr>
                <w:rFonts w:hint="eastAsia"/>
                <w:color w:val="000000" w:themeColor="text1"/>
                <w:sz w:val="21"/>
                <w:szCs w:val="21"/>
                <w:lang w:val="en-US"/>
                <w14:textFill>
                  <w14:solidFill>
                    <w14:schemeClr w14:val="tx1"/>
                  </w14:solidFill>
                </w14:textFill>
              </w:rPr>
              <w:t>证</w:t>
            </w:r>
            <w:r>
              <w:rPr>
                <w:rFonts w:hint="eastAsia"/>
                <w:color w:val="000000" w:themeColor="text1"/>
                <w:sz w:val="21"/>
                <w:szCs w:val="21"/>
                <w14:textFill>
                  <w14:solidFill>
                    <w14:schemeClr w14:val="tx1"/>
                  </w14:solidFill>
                </w14:textFill>
              </w:rPr>
              <w:t>B</w:t>
            </w:r>
            <w:r>
              <w:rPr>
                <w:rFonts w:hint="eastAsia"/>
                <w:color w:val="000000" w:themeColor="text1"/>
                <w:sz w:val="21"/>
                <w:szCs w:val="21"/>
                <w:lang w:val="en-US"/>
                <w14:textFill>
                  <w14:solidFill>
                    <w14:schemeClr w14:val="tx1"/>
                  </w14:solidFill>
                </w14:textFill>
              </w:rPr>
              <w:t>证。</w:t>
            </w:r>
          </w:p>
          <w:p>
            <w:pPr>
              <w:pStyle w:val="69"/>
              <w:spacing w:before="81" w:line="360" w:lineRule="auto"/>
              <w:ind w:left="105" w:right="9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2）</w:t>
            </w:r>
            <w:r>
              <w:rPr>
                <w:rFonts w:hint="eastAsia"/>
                <w:color w:val="000000" w:themeColor="text1"/>
                <w:sz w:val="21"/>
                <w:szCs w:val="21"/>
                <w14:textFill>
                  <w14:solidFill>
                    <w14:schemeClr w14:val="tx1"/>
                  </w14:solidFill>
                </w14:textFill>
              </w:rPr>
              <w:t>项目经理不得同时担任两个及以上建设工程施工项目负责人，以下情形除外：</w:t>
            </w:r>
          </w:p>
          <w:p>
            <w:pPr>
              <w:pStyle w:val="69"/>
              <w:spacing w:before="81" w:line="360" w:lineRule="auto"/>
              <w:ind w:left="105" w:right="9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①法定情形；</w:t>
            </w:r>
          </w:p>
          <w:p>
            <w:pPr>
              <w:pStyle w:val="69"/>
              <w:spacing w:before="81" w:line="360" w:lineRule="auto"/>
              <w:ind w:left="105" w:right="9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②虽在其他项目上担任项目经理岗位，但本项目成交后能够从该项目撤离，全面履约。</w:t>
            </w:r>
          </w:p>
          <w:p>
            <w:pPr>
              <w:pStyle w:val="69"/>
              <w:spacing w:before="81" w:line="360" w:lineRule="auto"/>
              <w:ind w:left="105" w:right="9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（3）成交后若项目经理在其他项目上担任项目经理岗位，导致该项目经理无法进场履约的，采购人可取消其成交资格。供应商因此原因被取消成交资格的，视为无正当理由放弃成交资格。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35.7</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before="3" w:line="360" w:lineRule="auto"/>
              <w:jc w:val="center"/>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全文明要求</w:t>
            </w:r>
          </w:p>
        </w:tc>
        <w:tc>
          <w:tcPr>
            <w:tcW w:w="3155"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ind w:left="10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必须确保安全文明施工，符合国家和项目所在地现行</w:t>
            </w:r>
            <w:r>
              <w:rPr>
                <w:rFonts w:hint="eastAsia"/>
                <w:color w:val="000000" w:themeColor="text1"/>
                <w:sz w:val="21"/>
                <w:szCs w:val="21"/>
                <w:lang w:val="en-US"/>
                <w14:textFill>
                  <w14:solidFill>
                    <w14:schemeClr w14:val="tx1"/>
                  </w14:solidFill>
                </w14:textFill>
              </w:rPr>
              <w:t>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before="1" w:line="360" w:lineRule="auto"/>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35.8</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before="1" w:line="360" w:lineRule="auto"/>
              <w:jc w:val="center"/>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总包及分包规定</w:t>
            </w:r>
          </w:p>
        </w:tc>
        <w:tc>
          <w:tcPr>
            <w:tcW w:w="3155"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ind w:left="10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供应商不得在成交后将工程转包给其它施工单位。如需专业分包，分包项目、内容及分包商须经采购人及监理单位同意和认可。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35.9</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before="3" w:line="360" w:lineRule="auto"/>
              <w:jc w:val="center"/>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现场条件</w:t>
            </w:r>
          </w:p>
        </w:tc>
        <w:tc>
          <w:tcPr>
            <w:tcW w:w="3155" w:type="pct"/>
            <w:tcBorders>
              <w:top w:val="single" w:color="000000" w:sz="4" w:space="0"/>
              <w:left w:val="single" w:color="000000" w:sz="4" w:space="0"/>
              <w:bottom w:val="single" w:color="000000" w:sz="4" w:space="0"/>
              <w:right w:val="single" w:color="000000" w:sz="4" w:space="0"/>
            </w:tcBorders>
            <w:vAlign w:val="center"/>
          </w:tcPr>
          <w:p>
            <w:pPr>
              <w:pStyle w:val="69"/>
              <w:spacing w:before="81" w:line="360" w:lineRule="auto"/>
              <w:ind w:left="105" w:right="99"/>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具备开工条件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35.10</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before="3" w:line="360" w:lineRule="auto"/>
              <w:jc w:val="center"/>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采购人提供的资料</w:t>
            </w:r>
          </w:p>
        </w:tc>
        <w:tc>
          <w:tcPr>
            <w:tcW w:w="3155"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ind w:left="10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☑谈判文件</w:t>
            </w:r>
          </w:p>
          <w:p>
            <w:pPr>
              <w:pStyle w:val="69"/>
              <w:spacing w:line="360" w:lineRule="auto"/>
              <w:ind w:left="10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☑工程量清单</w:t>
            </w:r>
          </w:p>
          <w:p>
            <w:pPr>
              <w:pStyle w:val="69"/>
              <w:spacing w:line="360" w:lineRule="auto"/>
              <w:ind w:left="10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☑最高投标限价（控制价）</w:t>
            </w:r>
          </w:p>
          <w:p>
            <w:pPr>
              <w:pStyle w:val="69"/>
              <w:spacing w:line="360" w:lineRule="auto"/>
              <w:ind w:left="105"/>
              <w:rPr>
                <w:rFonts w:hint="eastAsia" w:ascii="宋体" w:hAnsi="宋体" w:eastAsia="宋体" w:cs="宋体"/>
                <w:color w:val="000000" w:themeColor="text1"/>
                <w:sz w:val="21"/>
                <w:szCs w:val="21"/>
                <w14:textFill>
                  <w14:solidFill>
                    <w14:schemeClr w14:val="tx1"/>
                  </w14:solidFill>
                </w14:textFill>
              </w:rPr>
            </w:pPr>
            <w:r>
              <w:rPr>
                <w:rFonts w:hint="eastAsia"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电子版图纸</w:t>
            </w:r>
          </w:p>
          <w:p>
            <w:pPr>
              <w:pStyle w:val="69"/>
              <w:spacing w:line="360" w:lineRule="auto"/>
              <w:ind w:left="10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获得方式：</w:t>
            </w:r>
          </w:p>
          <w:p>
            <w:pPr>
              <w:pStyle w:val="69"/>
              <w:spacing w:line="360" w:lineRule="auto"/>
              <w:ind w:left="105"/>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w:t>
            </w:r>
            <w:r>
              <w:rPr>
                <w:rFonts w:hint="eastAsia" w:ascii="宋体" w:hAnsi="宋体" w:eastAsia="宋体" w:cs="宋体"/>
                <w:color w:val="000000" w:themeColor="text1"/>
                <w:sz w:val="21"/>
                <w:szCs w:val="21"/>
                <w:lang w:val="en-US" w:eastAsia="zh-CN"/>
                <w14:textFill>
                  <w14:solidFill>
                    <w14:schemeClr w14:val="tx1"/>
                  </w14:solidFill>
                </w14:textFill>
              </w:rPr>
              <w:t>阜阳投资发展集团有限公司(http://fytfjt.com/)</w:t>
            </w:r>
            <w:r>
              <w:rPr>
                <w:rFonts w:hint="eastAsia" w:ascii="宋体" w:hAnsi="宋体" w:eastAsia="宋体" w:cs="宋体"/>
                <w:color w:val="000000" w:themeColor="text1"/>
                <w:sz w:val="21"/>
                <w:szCs w:val="21"/>
                <w:lang w:val="en-US"/>
                <w14:textFill>
                  <w14:solidFill>
                    <w14:schemeClr w14:val="tx1"/>
                  </w14:solidFill>
                </w14:textFill>
              </w:rPr>
              <w:t>网站</w:t>
            </w:r>
            <w:r>
              <w:rPr>
                <w:rFonts w:hint="eastAsia" w:ascii="宋体" w:hAnsi="宋体" w:eastAsia="宋体" w:cs="宋体"/>
                <w:color w:val="000000" w:themeColor="text1"/>
                <w:sz w:val="21"/>
                <w:szCs w:val="21"/>
                <w14:textFill>
                  <w14:solidFill>
                    <w14:schemeClr w14:val="tx1"/>
                  </w14:solidFill>
                </w14:textFill>
              </w:rPr>
              <w:t>免费下载。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35.13</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关于联合体参加谈判的相关约定</w:t>
            </w:r>
          </w:p>
        </w:tc>
        <w:tc>
          <w:tcPr>
            <w:tcW w:w="3155"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ind w:left="10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（1）联合体参加谈判的，谈判文件获取手续由联合体中任意一成员单位办理均可。</w:t>
            </w:r>
          </w:p>
          <w:p>
            <w:pPr>
              <w:pStyle w:val="69"/>
              <w:spacing w:line="360" w:lineRule="auto"/>
              <w:ind w:left="10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（2）联合体参加谈判的须提供联合体协议（见响应文件格式），相关证明材料由供应商根据联合体协议分工情况及谈判文件要求提供。</w:t>
            </w:r>
          </w:p>
          <w:p>
            <w:pPr>
              <w:pStyle w:val="69"/>
              <w:spacing w:line="360" w:lineRule="auto"/>
              <w:ind w:left="10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联合体各成员单位均须提供营业执照（或事业单位法人登记证书）、税务登记证和无重大违法记录声明函、无不良信用记录声明函。注：已办理“三证合一”登记的，响应文件中提供营业执照（或事业单位法人登记证书）扫描件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lang w:eastAsia="en-US"/>
                <w14:textFill>
                  <w14:solidFill>
                    <w14:schemeClr w14:val="tx1"/>
                  </w14:solidFill>
                </w14:textFill>
              </w:rPr>
              <w:t>35.14</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社保证明材料</w:t>
            </w:r>
          </w:p>
          <w:p>
            <w:pPr>
              <w:pStyle w:val="69"/>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（如有）</w:t>
            </w:r>
          </w:p>
        </w:tc>
        <w:tc>
          <w:tcPr>
            <w:tcW w:w="3155"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ind w:left="10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本项目谈判文件中要求提供的社保证明材料为下述形式之一（响应文件中须提供扫描件）：</w:t>
            </w:r>
          </w:p>
          <w:p>
            <w:pPr>
              <w:pStyle w:val="69"/>
              <w:spacing w:line="360" w:lineRule="auto"/>
              <w:ind w:left="10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1）</w:t>
            </w:r>
            <w:r>
              <w:rPr>
                <w:rFonts w:hint="eastAsia"/>
                <w:color w:val="000000" w:themeColor="text1"/>
                <w:sz w:val="21"/>
                <w:szCs w:val="21"/>
                <w14:textFill>
                  <w14:solidFill>
                    <w14:schemeClr w14:val="tx1"/>
                  </w14:solidFill>
                </w14:textFill>
              </w:rPr>
              <w:t>社保局官方网站查询的缴费记录截图；</w:t>
            </w:r>
          </w:p>
          <w:p>
            <w:pPr>
              <w:pStyle w:val="69"/>
              <w:spacing w:line="360" w:lineRule="auto"/>
              <w:ind w:left="10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2）</w:t>
            </w:r>
            <w:r>
              <w:rPr>
                <w:rFonts w:hint="eastAsia"/>
                <w:color w:val="000000" w:themeColor="text1"/>
                <w:sz w:val="21"/>
                <w:szCs w:val="21"/>
                <w14:textFill>
                  <w14:solidFill>
                    <w14:schemeClr w14:val="tx1"/>
                  </w14:solidFill>
                </w14:textFill>
              </w:rPr>
              <w:t>社保局的书面证明材料；</w:t>
            </w:r>
          </w:p>
          <w:p>
            <w:pPr>
              <w:pStyle w:val="69"/>
              <w:spacing w:line="360" w:lineRule="auto"/>
              <w:ind w:left="10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3）</w:t>
            </w:r>
            <w:r>
              <w:rPr>
                <w:rFonts w:hint="eastAsia"/>
                <w:color w:val="000000" w:themeColor="text1"/>
                <w:sz w:val="21"/>
                <w:szCs w:val="21"/>
                <w14:textFill>
                  <w14:solidFill>
                    <w14:schemeClr w14:val="tx1"/>
                  </w14:solidFill>
                </w14:textFill>
              </w:rPr>
              <w:t>经供应商委托的第三方人力资源服务机构或与供应商有直接隶属关系的机构可以代缴社保，但须提供有关证明材料并经谈判小组确认。</w:t>
            </w:r>
          </w:p>
          <w:p>
            <w:pPr>
              <w:pStyle w:val="69"/>
              <w:spacing w:line="360" w:lineRule="auto"/>
              <w:ind w:left="10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4）</w:t>
            </w:r>
            <w:r>
              <w:rPr>
                <w:rFonts w:hint="eastAsia"/>
                <w:color w:val="000000" w:themeColor="text1"/>
                <w:sz w:val="21"/>
                <w:szCs w:val="21"/>
                <w14:textFill>
                  <w14:solidFill>
                    <w14:schemeClr w14:val="tx1"/>
                  </w14:solidFill>
                </w14:textFill>
              </w:rPr>
              <w:t>参与谈判的院校，社保证明可以用以下任意</w:t>
            </w:r>
          </w:p>
          <w:p>
            <w:pPr>
              <w:pStyle w:val="69"/>
              <w:spacing w:line="360" w:lineRule="auto"/>
              <w:ind w:left="10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一种：</w:t>
            </w:r>
          </w:p>
          <w:p>
            <w:pPr>
              <w:pStyle w:val="69"/>
              <w:spacing w:line="360" w:lineRule="auto"/>
              <w:ind w:left="10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①加盖供应商公章的教师证（须为本单位人员）；</w:t>
            </w:r>
          </w:p>
          <w:p>
            <w:pPr>
              <w:pStyle w:val="69"/>
              <w:spacing w:line="360" w:lineRule="auto"/>
              <w:ind w:left="10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②</w:t>
            </w:r>
            <w:r>
              <w:rPr>
                <w:rFonts w:hint="eastAsia"/>
                <w:color w:val="000000" w:themeColor="text1"/>
                <w:sz w:val="21"/>
                <w:szCs w:val="21"/>
                <w:lang w:val="en-US"/>
                <w14:textFill>
                  <w14:solidFill>
                    <w14:schemeClr w14:val="tx1"/>
                  </w14:solidFill>
                </w14:textFill>
              </w:rPr>
              <w:t>医保证明材料。</w:t>
            </w:r>
          </w:p>
          <w:p>
            <w:pPr>
              <w:pStyle w:val="69"/>
              <w:spacing w:line="360" w:lineRule="auto"/>
              <w:ind w:left="10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5）</w:t>
            </w:r>
            <w:r>
              <w:rPr>
                <w:rFonts w:hint="eastAsia"/>
                <w:color w:val="000000" w:themeColor="text1"/>
                <w:sz w:val="21"/>
                <w:szCs w:val="21"/>
                <w14:textFill>
                  <w14:solidFill>
                    <w14:schemeClr w14:val="tx1"/>
                  </w14:solidFill>
                </w14:textFill>
              </w:rPr>
              <w:t>其他经谈判小组认可的证明材料。</w:t>
            </w:r>
          </w:p>
          <w:p>
            <w:pPr>
              <w:pStyle w:val="69"/>
              <w:spacing w:line="360" w:lineRule="auto"/>
              <w:ind w:left="10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6）</w:t>
            </w:r>
            <w:r>
              <w:rPr>
                <w:rFonts w:hint="eastAsia"/>
                <w:color w:val="000000" w:themeColor="text1"/>
                <w:sz w:val="21"/>
                <w:szCs w:val="21"/>
                <w14:textFill>
                  <w14:solidFill>
                    <w14:schemeClr w14:val="tx1"/>
                  </w14:solidFill>
                </w14:textFill>
              </w:rPr>
              <w:t>法定代表人参与项目的，无需提供社保证明材料，提供身份证明材料即可。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lang w:eastAsia="en-US"/>
                <w14:textFill>
                  <w14:solidFill>
                    <w14:schemeClr w14:val="tx1"/>
                  </w14:solidFill>
                </w14:textFill>
              </w:rPr>
              <w:t>35.15</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本项目提供除电子版谈判文件以外的其他资料</w:t>
            </w:r>
          </w:p>
        </w:tc>
        <w:tc>
          <w:tcPr>
            <w:tcW w:w="3155"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ind w:left="10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w:t>
            </w:r>
            <w:r>
              <w:rPr>
                <w:rFonts w:hint="eastAsia"/>
                <w:color w:val="000000" w:themeColor="text1"/>
                <w:sz w:val="21"/>
                <w:szCs w:val="21"/>
                <w:lang w:eastAsia="zh-CN"/>
                <w14:textFill>
                  <w14:solidFill>
                    <w14:schemeClr w14:val="tx1"/>
                  </w14:solidFill>
                </w14:textFill>
              </w:rPr>
              <w:t>阜阳投资发展集团有限公司(http://fytfjt.com/)</w:t>
            </w:r>
            <w:r>
              <w:rPr>
                <w:rFonts w:hint="eastAsia"/>
                <w:color w:val="000000" w:themeColor="text1"/>
                <w:sz w:val="21"/>
                <w:szCs w:val="21"/>
                <w14:textFill>
                  <w14:solidFill>
                    <w14:schemeClr w14:val="tx1"/>
                  </w14:solidFill>
                </w14:textFill>
              </w:rPr>
              <w:t>网站发布，所有潜在供应商在响应文件提交截止时间前有义务在自行查询。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lang w:eastAsia="en-US"/>
                <w14:textFill>
                  <w14:solidFill>
                    <w14:schemeClr w14:val="tx1"/>
                  </w14:solidFill>
                </w14:textFill>
              </w:rPr>
              <w:t>35.16</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解释权</w:t>
            </w:r>
          </w:p>
        </w:tc>
        <w:tc>
          <w:tcPr>
            <w:tcW w:w="3155"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ind w:left="10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1）</w:t>
            </w:r>
            <w:r>
              <w:rPr>
                <w:rFonts w:hint="eastAsia"/>
                <w:color w:val="000000" w:themeColor="text1"/>
                <w:sz w:val="21"/>
                <w:szCs w:val="21"/>
                <w14:textFill>
                  <w14:solidFill>
                    <w14:schemeClr w14:val="tx1"/>
                  </w14:solidFill>
                </w14:textFill>
              </w:rPr>
              <w:t>构成本谈判文件的各个组成文件应互为解释，互为说明；</w:t>
            </w:r>
          </w:p>
          <w:p>
            <w:pPr>
              <w:pStyle w:val="69"/>
              <w:spacing w:line="360" w:lineRule="auto"/>
              <w:ind w:left="10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同一组成文件中就同一事项的规定或约定不一致的，以编排顺序在后者为准；</w:t>
            </w:r>
          </w:p>
          <w:p>
            <w:pPr>
              <w:pStyle w:val="69"/>
              <w:spacing w:line="360" w:lineRule="auto"/>
              <w:ind w:left="10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2）</w:t>
            </w:r>
            <w:r>
              <w:rPr>
                <w:rFonts w:hint="eastAsia"/>
                <w:color w:val="000000" w:themeColor="text1"/>
                <w:sz w:val="21"/>
                <w:szCs w:val="21"/>
                <w14:textFill>
                  <w14:solidFill>
                    <w14:schemeClr w14:val="tx1"/>
                  </w14:solidFill>
                </w14:textFill>
              </w:rPr>
              <w:t>如有不明确或不一致，构成合同文件组成内容的，以合同文件约定内容为准，且以专用合同条款约定的合同文件优先顺序解释；</w:t>
            </w:r>
          </w:p>
          <w:p>
            <w:pPr>
              <w:pStyle w:val="69"/>
              <w:spacing w:line="360" w:lineRule="auto"/>
              <w:ind w:left="10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3）</w:t>
            </w:r>
            <w:r>
              <w:rPr>
                <w:rFonts w:hint="eastAsia"/>
                <w:color w:val="000000" w:themeColor="text1"/>
                <w:sz w:val="21"/>
                <w:szCs w:val="21"/>
                <w14:textFill>
                  <w14:solidFill>
                    <w14:schemeClr w14:val="tx1"/>
                  </w14:solidFill>
                </w14:textFill>
              </w:rPr>
              <w:t>除谈判文件中有特别规定外，仅适用于谈判及响应文件提交阶段的规定，按谈判公告、供应商须知、评审方法和标准、响应文件格式的先后顺序解释；</w:t>
            </w:r>
          </w:p>
          <w:p>
            <w:pPr>
              <w:pStyle w:val="69"/>
              <w:spacing w:line="360" w:lineRule="auto"/>
              <w:ind w:left="10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4）</w:t>
            </w:r>
            <w:r>
              <w:rPr>
                <w:rFonts w:hint="eastAsia"/>
                <w:color w:val="000000" w:themeColor="text1"/>
                <w:sz w:val="21"/>
                <w:szCs w:val="21"/>
                <w14:textFill>
                  <w14:solidFill>
                    <w14:schemeClr w14:val="tx1"/>
                  </w14:solidFill>
                </w14:textFill>
              </w:rPr>
              <w:t>按本款前述规定仍不能形成结论的，由采购</w:t>
            </w:r>
            <w:r>
              <w:rPr>
                <w:rFonts w:hint="eastAsia"/>
                <w:color w:val="000000" w:themeColor="text1"/>
                <w:sz w:val="21"/>
                <w:szCs w:val="21"/>
                <w:lang w:val="en-US"/>
                <w14:textFill>
                  <w14:solidFill>
                    <w14:schemeClr w14:val="tx1"/>
                  </w14:solidFill>
                </w14:textFill>
              </w:rPr>
              <w:t>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lang w:eastAsia="en-US"/>
                <w14:textFill>
                  <w14:solidFill>
                    <w14:schemeClr w14:val="tx1"/>
                  </w14:solidFill>
                </w14:textFill>
              </w:rPr>
              <w:t>35.17</w:t>
            </w:r>
          </w:p>
        </w:tc>
        <w:tc>
          <w:tcPr>
            <w:tcW w:w="1293"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其他补充说明</w:t>
            </w:r>
          </w:p>
        </w:tc>
        <w:tc>
          <w:tcPr>
            <w:tcW w:w="3155" w:type="pct"/>
            <w:tcBorders>
              <w:top w:val="single" w:color="000000" w:sz="4" w:space="0"/>
              <w:left w:val="single" w:color="000000" w:sz="4" w:space="0"/>
              <w:bottom w:val="single" w:color="000000" w:sz="4" w:space="0"/>
              <w:right w:val="single" w:color="000000" w:sz="4" w:space="0"/>
            </w:tcBorders>
            <w:vAlign w:val="center"/>
          </w:tcPr>
          <w:p>
            <w:pPr>
              <w:pStyle w:val="69"/>
              <w:spacing w:line="360" w:lineRule="auto"/>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 </w:t>
            </w:r>
          </w:p>
        </w:tc>
      </w:tr>
    </w:tbl>
    <w:p>
      <w:pPr>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br w:type="page"/>
      </w:r>
    </w:p>
    <w:p>
      <w:pPr>
        <w:pStyle w:val="6"/>
        <w:spacing w:before="139"/>
        <w:ind w:right="1502"/>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lang w:val="en-US" w:eastAsia="zh-CN"/>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二、供应商须知正文</w:t>
      </w:r>
    </w:p>
    <w:p>
      <w:pPr>
        <w:pStyle w:val="6"/>
        <w:keepNext w:val="0"/>
        <w:keepLines w:val="0"/>
        <w:numPr>
          <w:ilvl w:val="0"/>
          <w:numId w:val="2"/>
        </w:numPr>
        <w:tabs>
          <w:tab w:val="left" w:pos="901"/>
        </w:tabs>
        <w:spacing w:before="161" w:after="0"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适用范围</w:t>
      </w:r>
    </w:p>
    <w:p>
      <w:pPr>
        <w:pStyle w:val="68"/>
        <w:numPr>
          <w:ilvl w:val="1"/>
          <w:numId w:val="2"/>
        </w:numPr>
        <w:tabs>
          <w:tab w:val="left" w:pos="1075"/>
        </w:tabs>
        <w:spacing w:before="160" w:line="360" w:lineRule="auto"/>
        <w:ind w:right="2288" w:hanging="3"/>
        <w:jc w:val="both"/>
        <w:rPr>
          <w:b/>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本谈判文件仅适用于本次谈判所述的工程项目采购。</w:t>
      </w:r>
    </w:p>
    <w:p>
      <w:pPr>
        <w:pStyle w:val="68"/>
        <w:tabs>
          <w:tab w:val="left" w:pos="1075"/>
        </w:tabs>
        <w:spacing w:before="160" w:line="360" w:lineRule="auto"/>
        <w:ind w:left="657" w:right="2288" w:firstLine="0"/>
        <w:jc w:val="both"/>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2.定义</w:t>
      </w:r>
    </w:p>
    <w:p>
      <w:pPr>
        <w:pStyle w:val="68"/>
        <w:numPr>
          <w:ilvl w:val="1"/>
          <w:numId w:val="3"/>
        </w:numPr>
        <w:tabs>
          <w:tab w:val="left" w:pos="1087"/>
        </w:tabs>
        <w:spacing w:before="1" w:line="360" w:lineRule="auto"/>
        <w:ind w:right="357" w:firstLine="434"/>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程：是指建设工程，包括建筑物和构筑物的新建、改建、扩建及其相关的装修、拆除、修缮等；与工程建设有关的货物，是指构成工程不可分割的组成部分，且为实现工程基本功能所必需的设备、材料等；所称与工程建设有关的服务，是指为完成工程所需的勘察、设计、监理等服务。</w:t>
      </w:r>
    </w:p>
    <w:p>
      <w:pPr>
        <w:pStyle w:val="68"/>
        <w:numPr>
          <w:ilvl w:val="1"/>
          <w:numId w:val="3"/>
        </w:numPr>
        <w:tabs>
          <w:tab w:val="left" w:pos="1130"/>
        </w:tabs>
        <w:spacing w:before="3" w:line="360" w:lineRule="auto"/>
        <w:ind w:right="353" w:firstLine="47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时限（年份、月份等）计算：系指从响应文件提交截止之日向前追溯 X 年/月（“X”为“一”及以后整数）起算。</w:t>
      </w:r>
    </w:p>
    <w:p>
      <w:pPr>
        <w:pStyle w:val="6"/>
        <w:keepNext w:val="0"/>
        <w:keepLines w:val="0"/>
        <w:numPr>
          <w:ilvl w:val="0"/>
          <w:numId w:val="4"/>
        </w:numPr>
        <w:tabs>
          <w:tab w:val="left" w:pos="899"/>
        </w:tabs>
        <w:spacing w:before="1" w:after="0" w:line="360" w:lineRule="auto"/>
        <w:ind w:hanging="24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采购人、采购代理机构及供应商</w:t>
      </w:r>
    </w:p>
    <w:p>
      <w:pPr>
        <w:pStyle w:val="68"/>
        <w:numPr>
          <w:ilvl w:val="1"/>
          <w:numId w:val="4"/>
        </w:numPr>
        <w:tabs>
          <w:tab w:val="left" w:pos="1075"/>
        </w:tabs>
        <w:spacing w:before="161" w:line="360" w:lineRule="auto"/>
        <w:ind w:right="361" w:firstLine="43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采购人：本项目的采购人见</w:t>
      </w:r>
      <w:r>
        <w:rPr>
          <w:rFonts w:hint="eastAsia"/>
          <w:color w:val="000000" w:themeColor="text1"/>
          <w:sz w:val="21"/>
          <w:szCs w:val="21"/>
          <w:u w:val="single"/>
          <w14:textFill>
            <w14:solidFill>
              <w14:schemeClr w14:val="tx1"/>
            </w14:solidFill>
          </w14:textFill>
        </w:rPr>
        <w:t>供应商须知前附表</w:t>
      </w:r>
      <w:r>
        <w:rPr>
          <w:rFonts w:hint="eastAsia"/>
          <w:color w:val="000000" w:themeColor="text1"/>
          <w:sz w:val="21"/>
          <w:szCs w:val="21"/>
          <w14:textFill>
            <w14:solidFill>
              <w14:schemeClr w14:val="tx1"/>
            </w14:solidFill>
          </w14:textFill>
        </w:rPr>
        <w:t>。</w:t>
      </w:r>
    </w:p>
    <w:p>
      <w:pPr>
        <w:pStyle w:val="68"/>
        <w:numPr>
          <w:ilvl w:val="1"/>
          <w:numId w:val="4"/>
        </w:numPr>
        <w:tabs>
          <w:tab w:val="left" w:pos="1075"/>
        </w:tabs>
        <w:spacing w:before="2" w:line="360" w:lineRule="auto"/>
        <w:ind w:right="237" w:firstLine="43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采购代理机构：是指从事采购代理业务的社会中介机构。本项目的采购代理机构见</w:t>
      </w:r>
      <w:r>
        <w:rPr>
          <w:rFonts w:hint="eastAsia"/>
          <w:color w:val="000000" w:themeColor="text1"/>
          <w:sz w:val="21"/>
          <w:szCs w:val="21"/>
          <w:u w:val="single"/>
          <w14:textFill>
            <w14:solidFill>
              <w14:schemeClr w14:val="tx1"/>
            </w14:solidFill>
          </w14:textFill>
        </w:rPr>
        <w:t>供应商须知前附表</w:t>
      </w:r>
      <w:r>
        <w:rPr>
          <w:rFonts w:hint="eastAsia"/>
          <w:color w:val="000000" w:themeColor="text1"/>
          <w:sz w:val="21"/>
          <w:szCs w:val="21"/>
          <w14:textFill>
            <w14:solidFill>
              <w14:schemeClr w14:val="tx1"/>
            </w14:solidFill>
          </w14:textFill>
        </w:rPr>
        <w:t>。</w:t>
      </w:r>
    </w:p>
    <w:p>
      <w:pPr>
        <w:pStyle w:val="68"/>
        <w:numPr>
          <w:ilvl w:val="1"/>
          <w:numId w:val="4"/>
        </w:numPr>
        <w:tabs>
          <w:tab w:val="left" w:pos="1087"/>
        </w:tabs>
        <w:spacing w:before="2" w:line="360" w:lineRule="auto"/>
        <w:ind w:right="244" w:firstLine="43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供应商：是指向采购人提供工程、货物或者服务的法人、非法人组织或者自然人。分支机构不得参加采购活动，但银行、保险、石油石化、电力、电信等特殊行业除外。本项目的供应商须满足以下条件：</w:t>
      </w:r>
    </w:p>
    <w:p>
      <w:pPr>
        <w:pStyle w:val="68"/>
        <w:numPr>
          <w:ilvl w:val="2"/>
          <w:numId w:val="4"/>
        </w:numPr>
        <w:tabs>
          <w:tab w:val="left" w:pos="1327"/>
        </w:tabs>
        <w:spacing w:before="2" w:line="360" w:lineRule="auto"/>
        <w:ind w:right="357" w:firstLine="43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在中华人民共和国境内注册，能够独立承担民事责任，有生产或供应能力的本国供应商。</w:t>
      </w:r>
    </w:p>
    <w:p>
      <w:pPr>
        <w:pStyle w:val="68"/>
        <w:numPr>
          <w:ilvl w:val="2"/>
          <w:numId w:val="4"/>
        </w:numPr>
        <w:tabs>
          <w:tab w:val="left" w:pos="1315"/>
        </w:tabs>
        <w:spacing w:before="2" w:line="360" w:lineRule="auto"/>
        <w:ind w:left="1314" w:hanging="661"/>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以采购代理机构认可的方式获得了本项目的谈判文件。</w:t>
      </w:r>
    </w:p>
    <w:p>
      <w:pPr>
        <w:pStyle w:val="68"/>
        <w:tabs>
          <w:tab w:val="left" w:pos="1315"/>
        </w:tabs>
        <w:spacing w:before="2" w:line="360" w:lineRule="auto"/>
        <w:ind w:left="653" w:firstLine="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若</w:t>
      </w:r>
      <w:r>
        <w:rPr>
          <w:rFonts w:hint="eastAsia"/>
          <w:color w:val="000000" w:themeColor="text1"/>
          <w:sz w:val="21"/>
          <w:szCs w:val="21"/>
          <w:u w:val="single"/>
          <w14:textFill>
            <w14:solidFill>
              <w14:schemeClr w14:val="tx1"/>
            </w14:solidFill>
          </w14:textFill>
        </w:rPr>
        <w:t>供应商须知前附表</w:t>
      </w:r>
      <w:r>
        <w:rPr>
          <w:rFonts w:hint="eastAsia"/>
          <w:color w:val="000000" w:themeColor="text1"/>
          <w:sz w:val="21"/>
          <w:szCs w:val="21"/>
          <w14:textFill>
            <w14:solidFill>
              <w14:schemeClr w14:val="tx1"/>
            </w14:solidFill>
          </w14:textFill>
        </w:rPr>
        <w:t>中允许联合体参加谈判，对联合体规定如下：</w:t>
      </w:r>
    </w:p>
    <w:p>
      <w:pPr>
        <w:pStyle w:val="68"/>
        <w:numPr>
          <w:ilvl w:val="2"/>
          <w:numId w:val="4"/>
        </w:numPr>
        <w:tabs>
          <w:tab w:val="left" w:pos="1315"/>
        </w:tabs>
        <w:spacing w:before="161" w:line="360" w:lineRule="auto"/>
        <w:ind w:left="1314" w:hanging="661"/>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两个以上供应商可以组成一个谈判联合体，以一个供应商的身份谈判。</w:t>
      </w:r>
    </w:p>
    <w:p>
      <w:pPr>
        <w:pStyle w:val="68"/>
        <w:numPr>
          <w:ilvl w:val="2"/>
          <w:numId w:val="4"/>
        </w:numPr>
        <w:tabs>
          <w:tab w:val="left" w:pos="1327"/>
        </w:tabs>
        <w:spacing w:before="2" w:line="360" w:lineRule="auto"/>
        <w:ind w:right="358" w:firstLine="434"/>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采购人根据采购项目对供应商的特殊要求，联合体中至少应当有一方符合相关规定。</w:t>
      </w:r>
    </w:p>
    <w:p>
      <w:pPr>
        <w:pStyle w:val="68"/>
        <w:numPr>
          <w:ilvl w:val="2"/>
          <w:numId w:val="4"/>
        </w:numPr>
        <w:tabs>
          <w:tab w:val="left" w:pos="1327"/>
        </w:tabs>
        <w:spacing w:before="1" w:line="360" w:lineRule="auto"/>
        <w:ind w:right="358" w:firstLine="434"/>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联合体各方应签订联合体协议，明确约定联合体各方承担的工作和相应的责任，并将联合体协议作为响应文件的一部分提交。</w:t>
      </w:r>
    </w:p>
    <w:p>
      <w:pPr>
        <w:pStyle w:val="68"/>
        <w:numPr>
          <w:ilvl w:val="2"/>
          <w:numId w:val="4"/>
        </w:numPr>
        <w:tabs>
          <w:tab w:val="left" w:pos="1327"/>
        </w:tabs>
        <w:spacing w:before="1" w:line="360" w:lineRule="auto"/>
        <w:ind w:right="356" w:firstLine="434"/>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联合体中有同类资质的供应商按照联合体分工承担相同工作的，应当按照资质等级较低的供应商确定资质等级。</w:t>
      </w:r>
    </w:p>
    <w:p>
      <w:pPr>
        <w:pStyle w:val="68"/>
        <w:numPr>
          <w:ilvl w:val="2"/>
          <w:numId w:val="4"/>
        </w:numPr>
        <w:tabs>
          <w:tab w:val="left" w:pos="1327"/>
        </w:tabs>
        <w:spacing w:before="2" w:line="360" w:lineRule="auto"/>
        <w:ind w:right="353" w:firstLine="434"/>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以联合体形式参加采购活动的，联合体各方不得再单独参加或者与其他供应商另外组成联合体参加本项目谈判，否则其响应文件将被认定为</w:t>
      </w:r>
      <w:r>
        <w:rPr>
          <w:rFonts w:hint="eastAsia"/>
          <w:b/>
          <w:color w:val="000000" w:themeColor="text1"/>
          <w:sz w:val="21"/>
          <w:szCs w:val="21"/>
          <w14:textFill>
            <w14:solidFill>
              <w14:schemeClr w14:val="tx1"/>
            </w14:solidFill>
          </w14:textFill>
        </w:rPr>
        <w:t>响应无效</w:t>
      </w:r>
      <w:r>
        <w:rPr>
          <w:rFonts w:hint="eastAsia"/>
          <w:color w:val="000000" w:themeColor="text1"/>
          <w:sz w:val="21"/>
          <w:szCs w:val="21"/>
          <w14:textFill>
            <w14:solidFill>
              <w14:schemeClr w14:val="tx1"/>
            </w14:solidFill>
          </w14:textFill>
        </w:rPr>
        <w:t>。</w:t>
      </w:r>
    </w:p>
    <w:p>
      <w:pPr>
        <w:pStyle w:val="68"/>
        <w:numPr>
          <w:ilvl w:val="2"/>
          <w:numId w:val="4"/>
        </w:numPr>
        <w:tabs>
          <w:tab w:val="left" w:pos="1315"/>
        </w:tabs>
        <w:spacing w:before="2" w:line="360" w:lineRule="auto"/>
        <w:ind w:left="1314" w:hanging="661"/>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对联合体参加谈判的其他资格要求见</w:t>
      </w:r>
      <w:r>
        <w:rPr>
          <w:rFonts w:hint="eastAsia"/>
          <w:color w:val="000000" w:themeColor="text1"/>
          <w:sz w:val="21"/>
          <w:szCs w:val="21"/>
          <w:u w:val="single"/>
          <w14:textFill>
            <w14:solidFill>
              <w14:schemeClr w14:val="tx1"/>
            </w14:solidFill>
          </w14:textFill>
        </w:rPr>
        <w:t>供应商资格</w:t>
      </w:r>
      <w:r>
        <w:rPr>
          <w:rFonts w:hint="eastAsia"/>
          <w:color w:val="000000" w:themeColor="text1"/>
          <w:sz w:val="21"/>
          <w:szCs w:val="21"/>
          <w14:textFill>
            <w14:solidFill>
              <w14:schemeClr w14:val="tx1"/>
            </w14:solidFill>
          </w14:textFill>
        </w:rPr>
        <w:t>。</w:t>
      </w:r>
    </w:p>
    <w:p>
      <w:pPr>
        <w:pStyle w:val="68"/>
        <w:numPr>
          <w:ilvl w:val="1"/>
          <w:numId w:val="4"/>
        </w:numPr>
        <w:tabs>
          <w:tab w:val="left" w:pos="1087"/>
        </w:tabs>
        <w:spacing w:before="160" w:line="360" w:lineRule="auto"/>
        <w:ind w:right="356" w:firstLine="434"/>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单位负责人为同一人或者存在直接控股、管理关系的不同供应商，不得参加同一合同项下的采购活动。否则其响应文件将被认定为</w:t>
      </w:r>
      <w:r>
        <w:rPr>
          <w:rFonts w:hint="eastAsia"/>
          <w:b/>
          <w:color w:val="000000" w:themeColor="text1"/>
          <w:sz w:val="21"/>
          <w:szCs w:val="21"/>
          <w14:textFill>
            <w14:solidFill>
              <w14:schemeClr w14:val="tx1"/>
            </w14:solidFill>
          </w14:textFill>
        </w:rPr>
        <w:t>响应无效</w:t>
      </w:r>
      <w:r>
        <w:rPr>
          <w:rFonts w:hint="eastAsia"/>
          <w:color w:val="000000" w:themeColor="text1"/>
          <w:sz w:val="21"/>
          <w:szCs w:val="21"/>
          <w14:textFill>
            <w14:solidFill>
              <w14:schemeClr w14:val="tx1"/>
            </w14:solidFill>
          </w14:textFill>
        </w:rPr>
        <w:t>。</w:t>
      </w:r>
    </w:p>
    <w:p>
      <w:pPr>
        <w:pStyle w:val="68"/>
        <w:numPr>
          <w:ilvl w:val="1"/>
          <w:numId w:val="4"/>
        </w:numPr>
        <w:tabs>
          <w:tab w:val="left" w:pos="1087"/>
        </w:tabs>
        <w:spacing w:before="2" w:line="360" w:lineRule="auto"/>
        <w:ind w:right="357" w:firstLine="434"/>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为本项目提供过整体设计、规范编制或者项目管理、监理、检测等服务的供应商，不得再参加本项目上述服务以外的其他采购活动。否则其响应文件将被认定为</w:t>
      </w:r>
      <w:r>
        <w:rPr>
          <w:rFonts w:hint="eastAsia"/>
          <w:b/>
          <w:color w:val="000000" w:themeColor="text1"/>
          <w:sz w:val="21"/>
          <w:szCs w:val="21"/>
          <w14:textFill>
            <w14:solidFill>
              <w14:schemeClr w14:val="tx1"/>
            </w14:solidFill>
          </w14:textFill>
        </w:rPr>
        <w:t>响应无效</w:t>
      </w:r>
      <w:r>
        <w:rPr>
          <w:rFonts w:hint="eastAsia"/>
          <w:color w:val="000000" w:themeColor="text1"/>
          <w:sz w:val="21"/>
          <w:szCs w:val="21"/>
          <w14:textFill>
            <w14:solidFill>
              <w14:schemeClr w14:val="tx1"/>
            </w14:solidFill>
          </w14:textFill>
        </w:rPr>
        <w:t>。</w:t>
      </w:r>
    </w:p>
    <w:p>
      <w:pPr>
        <w:pStyle w:val="6"/>
        <w:keepNext w:val="0"/>
        <w:keepLines w:val="0"/>
        <w:numPr>
          <w:ilvl w:val="0"/>
          <w:numId w:val="4"/>
        </w:numPr>
        <w:tabs>
          <w:tab w:val="left" w:pos="901"/>
        </w:tabs>
        <w:spacing w:before="2" w:after="0" w:line="360" w:lineRule="auto"/>
        <w:ind w:left="9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资金来源</w:t>
      </w:r>
    </w:p>
    <w:p>
      <w:pPr>
        <w:pStyle w:val="68"/>
        <w:numPr>
          <w:ilvl w:val="1"/>
          <w:numId w:val="4"/>
        </w:numPr>
        <w:tabs>
          <w:tab w:val="left" w:pos="1075"/>
        </w:tabs>
        <w:spacing w:before="160" w:line="360" w:lineRule="auto"/>
        <w:ind w:left="1074" w:hanging="421"/>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本项目的采购人已获得足以支付本次谈判后所签订的合同项下的资金。</w:t>
      </w:r>
    </w:p>
    <w:p>
      <w:pPr>
        <w:pStyle w:val="68"/>
        <w:tabs>
          <w:tab w:val="left" w:pos="1075"/>
        </w:tabs>
        <w:spacing w:before="161" w:line="360" w:lineRule="auto"/>
        <w:ind w:left="657" w:right="728" w:firstLine="0"/>
        <w:rPr>
          <w:b/>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4.2项目预算金额或分项（或分包）预算金额见</w:t>
      </w:r>
      <w:r>
        <w:rPr>
          <w:rFonts w:hint="eastAsia"/>
          <w:color w:val="000000" w:themeColor="text1"/>
          <w:sz w:val="21"/>
          <w:szCs w:val="21"/>
          <w:u w:val="single"/>
          <w14:textFill>
            <w14:solidFill>
              <w14:schemeClr w14:val="tx1"/>
            </w14:solidFill>
          </w14:textFill>
        </w:rPr>
        <w:t>谈判公告（谈判邀请</w:t>
      </w:r>
      <w:r>
        <w:rPr>
          <w:rFonts w:hint="eastAsia"/>
          <w:color w:val="000000" w:themeColor="text1"/>
          <w:sz w:val="21"/>
          <w:szCs w:val="21"/>
          <w:u w:val="none"/>
          <w14:textFill>
            <w14:solidFill>
              <w14:schemeClr w14:val="tx1"/>
            </w14:solidFill>
          </w14:textFill>
        </w:rPr>
        <w:t>）</w:t>
      </w:r>
      <w:r>
        <w:rPr>
          <w:rFonts w:hint="eastAsia"/>
          <w:color w:val="000000" w:themeColor="text1"/>
          <w:sz w:val="21"/>
          <w:szCs w:val="21"/>
          <w14:textFill>
            <w14:solidFill>
              <w14:schemeClr w14:val="tx1"/>
            </w14:solidFill>
          </w14:textFill>
        </w:rPr>
        <w:t>。</w:t>
      </w:r>
    </w:p>
    <w:p>
      <w:pPr>
        <w:pStyle w:val="68"/>
        <w:tabs>
          <w:tab w:val="left" w:pos="1075"/>
        </w:tabs>
        <w:spacing w:before="161" w:line="360" w:lineRule="auto"/>
        <w:ind w:left="657" w:right="728" w:firstLine="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5.谈判费用</w:t>
      </w:r>
    </w:p>
    <w:p>
      <w:pPr>
        <w:pStyle w:val="16"/>
        <w:spacing w:before="2" w:line="360" w:lineRule="auto"/>
        <w:ind w:left="65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不论谈判的结果如何，供应商应承担其所有与准备和参加谈判有关的费用。</w:t>
      </w:r>
    </w:p>
    <w:p>
      <w:pPr>
        <w:tabs>
          <w:tab w:val="left" w:pos="850"/>
        </w:tabs>
        <w:ind w:firstLine="630" w:firstLineChars="300"/>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适用法律</w:t>
      </w:r>
    </w:p>
    <w:p>
      <w:pPr>
        <w:pStyle w:val="16"/>
        <w:spacing w:before="161" w:line="360" w:lineRule="auto"/>
        <w:ind w:left="220" w:right="356" w:firstLine="434"/>
        <w:jc w:val="both"/>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本项目采购人、采购代理机构、供应商、谈判小组的相关行为均受本项目本级和上级部门、采购监督管理部门的采购有关规定的约束，其权利受到上述法律法规的保护。</w:t>
      </w:r>
    </w:p>
    <w:p>
      <w:pPr>
        <w:pStyle w:val="6"/>
        <w:keepNext w:val="0"/>
        <w:keepLines w:val="0"/>
        <w:numPr>
          <w:ilvl w:val="0"/>
          <w:numId w:val="5"/>
        </w:numPr>
        <w:tabs>
          <w:tab w:val="left" w:pos="901"/>
        </w:tabs>
        <w:spacing w:before="2" w:after="0"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谈判文件构成</w:t>
      </w:r>
    </w:p>
    <w:p>
      <w:pPr>
        <w:pStyle w:val="68"/>
        <w:numPr>
          <w:ilvl w:val="1"/>
          <w:numId w:val="5"/>
        </w:numPr>
        <w:tabs>
          <w:tab w:val="left" w:pos="1075"/>
        </w:tabs>
        <w:spacing w:before="161" w:line="360" w:lineRule="auto"/>
        <w:ind w:hanging="421"/>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谈判文件包括下列内容：</w:t>
      </w:r>
    </w:p>
    <w:p>
      <w:pPr>
        <w:pStyle w:val="68"/>
        <w:numPr>
          <w:ilvl w:val="0"/>
          <w:numId w:val="6"/>
        </w:numPr>
        <w:tabs>
          <w:tab w:val="left" w:pos="1075"/>
        </w:tabs>
        <w:spacing w:before="161" w:line="360" w:lineRule="auto"/>
        <w:ind w:left="1074" w:firstLine="0"/>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谈判公告</w:t>
      </w:r>
    </w:p>
    <w:p>
      <w:pPr>
        <w:pStyle w:val="68"/>
        <w:numPr>
          <w:ilvl w:val="0"/>
          <w:numId w:val="6"/>
        </w:numPr>
        <w:tabs>
          <w:tab w:val="left" w:pos="1075"/>
        </w:tabs>
        <w:spacing w:before="161" w:line="360" w:lineRule="auto"/>
        <w:ind w:left="1074" w:leftChars="0" w:firstLine="0" w:firstLineChars="0"/>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供应商须知</w:t>
      </w:r>
    </w:p>
    <w:p>
      <w:pPr>
        <w:pStyle w:val="68"/>
        <w:numPr>
          <w:ilvl w:val="0"/>
          <w:numId w:val="6"/>
        </w:numPr>
        <w:tabs>
          <w:tab w:val="left" w:pos="1075"/>
        </w:tabs>
        <w:spacing w:before="161" w:line="360" w:lineRule="auto"/>
        <w:ind w:left="1074" w:leftChars="0"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采购需求</w:t>
      </w:r>
    </w:p>
    <w:p>
      <w:pPr>
        <w:pStyle w:val="68"/>
        <w:numPr>
          <w:ilvl w:val="0"/>
          <w:numId w:val="6"/>
        </w:numPr>
        <w:tabs>
          <w:tab w:val="left" w:pos="1075"/>
        </w:tabs>
        <w:spacing w:before="161" w:line="360" w:lineRule="auto"/>
        <w:ind w:left="1074" w:leftChars="0"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评审方法和标准</w:t>
      </w:r>
    </w:p>
    <w:p>
      <w:pPr>
        <w:pStyle w:val="68"/>
        <w:numPr>
          <w:ilvl w:val="0"/>
          <w:numId w:val="6"/>
        </w:numPr>
        <w:tabs>
          <w:tab w:val="left" w:pos="1075"/>
        </w:tabs>
        <w:spacing w:before="161" w:line="360" w:lineRule="auto"/>
        <w:ind w:left="1074" w:leftChars="0"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采购合同 </w:t>
      </w:r>
    </w:p>
    <w:p>
      <w:pPr>
        <w:pStyle w:val="68"/>
        <w:numPr>
          <w:ilvl w:val="0"/>
          <w:numId w:val="6"/>
        </w:numPr>
        <w:tabs>
          <w:tab w:val="left" w:pos="1075"/>
        </w:tabs>
        <w:spacing w:before="161" w:line="360" w:lineRule="auto"/>
        <w:ind w:left="1074" w:leftChars="0" w:firstLine="0" w:firstLineChars="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响应文件格式</w:t>
      </w:r>
    </w:p>
    <w:p>
      <w:pPr>
        <w:pStyle w:val="68"/>
        <w:numPr>
          <w:ilvl w:val="1"/>
          <w:numId w:val="5"/>
        </w:numPr>
        <w:tabs>
          <w:tab w:val="left" w:pos="1075"/>
        </w:tabs>
        <w:spacing w:before="2" w:line="360" w:lineRule="auto"/>
        <w:ind w:hanging="421"/>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谈判文件中有不一致的，有澄清的部分以最终的澄清更正内容为准。</w:t>
      </w:r>
    </w:p>
    <w:p>
      <w:pPr>
        <w:pStyle w:val="68"/>
        <w:numPr>
          <w:ilvl w:val="1"/>
          <w:numId w:val="5"/>
        </w:numPr>
        <w:tabs>
          <w:tab w:val="left" w:pos="1075"/>
        </w:tabs>
        <w:spacing w:before="160" w:line="360" w:lineRule="auto"/>
        <w:ind w:hanging="421"/>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现场踏勘及相关事项见供应商须知前附表。</w:t>
      </w:r>
    </w:p>
    <w:p>
      <w:pPr>
        <w:pStyle w:val="68"/>
        <w:tabs>
          <w:tab w:val="left" w:pos="1075"/>
        </w:tabs>
        <w:spacing w:before="161" w:line="360" w:lineRule="auto"/>
        <w:ind w:left="657" w:right="610" w:firstLine="0"/>
        <w:jc w:val="both"/>
        <w:rPr>
          <w:b/>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7.4供应商应认真阅读谈判文件所有的事项、格式、条款和技术规范等。</w:t>
      </w:r>
    </w:p>
    <w:p>
      <w:pPr>
        <w:pStyle w:val="68"/>
        <w:tabs>
          <w:tab w:val="left" w:pos="1075"/>
        </w:tabs>
        <w:spacing w:before="161" w:line="360" w:lineRule="auto"/>
        <w:ind w:left="657" w:right="610" w:firstLine="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8.谈判文件的澄清与修改</w:t>
      </w:r>
    </w:p>
    <w:p>
      <w:pPr>
        <w:spacing w:after="120" w:afterLines="50" w:line="360" w:lineRule="auto"/>
        <w:ind w:left="658"/>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8.1供应商质疑截止时间：见供应商须知前附表。</w:t>
      </w:r>
    </w:p>
    <w:p>
      <w:pPr>
        <w:pStyle w:val="6"/>
        <w:keepNext w:val="0"/>
        <w:keepLines w:val="0"/>
        <w:numPr>
          <w:ilvl w:val="0"/>
          <w:numId w:val="7"/>
        </w:numPr>
        <w:tabs>
          <w:tab w:val="left" w:pos="901"/>
        </w:tabs>
        <w:spacing w:before="1" w:after="0"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谈判范围及响应文件中标准和计量单位的使用</w:t>
      </w:r>
    </w:p>
    <w:p>
      <w:pPr>
        <w:pStyle w:val="68"/>
        <w:numPr>
          <w:ilvl w:val="1"/>
          <w:numId w:val="7"/>
        </w:numPr>
        <w:tabs>
          <w:tab w:val="left" w:pos="1087"/>
        </w:tabs>
        <w:spacing w:before="161" w:line="360" w:lineRule="auto"/>
        <w:ind w:right="356" w:firstLine="434"/>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项目有分包的，供应商可参与谈判文件其中某一个或多个分包的谈判，成交包数详见</w:t>
      </w:r>
      <w:r>
        <w:rPr>
          <w:rFonts w:hint="eastAsia"/>
          <w:color w:val="000000" w:themeColor="text1"/>
          <w:sz w:val="21"/>
          <w:szCs w:val="21"/>
          <w:u w:val="single"/>
          <w14:textFill>
            <w14:solidFill>
              <w14:schemeClr w14:val="tx1"/>
            </w14:solidFill>
          </w14:textFill>
        </w:rPr>
        <w:t>供应商须知前附表</w:t>
      </w:r>
      <w:r>
        <w:rPr>
          <w:rFonts w:hint="eastAsia"/>
          <w:color w:val="000000" w:themeColor="text1"/>
          <w:sz w:val="21"/>
          <w:szCs w:val="21"/>
          <w14:textFill>
            <w14:solidFill>
              <w14:schemeClr w14:val="tx1"/>
            </w14:solidFill>
          </w14:textFill>
        </w:rPr>
        <w:t>中规定。</w:t>
      </w:r>
    </w:p>
    <w:p>
      <w:pPr>
        <w:pStyle w:val="68"/>
        <w:numPr>
          <w:ilvl w:val="1"/>
          <w:numId w:val="7"/>
        </w:numPr>
        <w:tabs>
          <w:tab w:val="left" w:pos="1087"/>
        </w:tabs>
        <w:spacing w:before="1" w:line="360" w:lineRule="auto"/>
        <w:ind w:right="356" w:firstLine="434"/>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无论谈判文件中是否要求，供应商所承担工程及伴随的货物和服务均应符合国家强制性标准。</w:t>
      </w:r>
    </w:p>
    <w:p>
      <w:pPr>
        <w:pStyle w:val="68"/>
        <w:numPr>
          <w:ilvl w:val="1"/>
          <w:numId w:val="7"/>
        </w:numPr>
        <w:tabs>
          <w:tab w:val="left" w:pos="1087"/>
        </w:tabs>
        <w:spacing w:before="2" w:line="360" w:lineRule="auto"/>
        <w:ind w:right="356" w:firstLine="434"/>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w:t>
      </w:r>
    </w:p>
    <w:p>
      <w:pPr>
        <w:pStyle w:val="68"/>
        <w:numPr>
          <w:ilvl w:val="1"/>
          <w:numId w:val="7"/>
        </w:numPr>
        <w:tabs>
          <w:tab w:val="left" w:pos="1087"/>
        </w:tabs>
        <w:spacing w:before="2" w:line="360" w:lineRule="auto"/>
        <w:ind w:right="356" w:firstLine="434"/>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除谈判文件中有特殊要求外，响应文件中所使用的计量单位，应采用中华人民共和国法定计量单位。</w:t>
      </w:r>
    </w:p>
    <w:p>
      <w:pPr>
        <w:pStyle w:val="6"/>
        <w:keepNext w:val="0"/>
        <w:keepLines w:val="0"/>
        <w:numPr>
          <w:ilvl w:val="0"/>
          <w:numId w:val="7"/>
        </w:numPr>
        <w:tabs>
          <w:tab w:val="left" w:pos="1022"/>
        </w:tabs>
        <w:spacing w:before="1" w:after="0" w:line="360" w:lineRule="auto"/>
        <w:ind w:left="1022" w:hanging="36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响应文件构成</w:t>
      </w:r>
    </w:p>
    <w:p>
      <w:pPr>
        <w:pStyle w:val="68"/>
        <w:numPr>
          <w:ilvl w:val="1"/>
          <w:numId w:val="7"/>
        </w:numPr>
        <w:tabs>
          <w:tab w:val="left" w:pos="1207"/>
        </w:tabs>
        <w:spacing w:before="160" w:line="360" w:lineRule="auto"/>
        <w:ind w:right="236" w:firstLine="43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供应商应完整地按谈判文件提供的响应文件格式及要求编写响应文件， 具体内容详见本项目第六章响应文件格式的相关内容。</w:t>
      </w:r>
    </w:p>
    <w:p>
      <w:pPr>
        <w:pStyle w:val="68"/>
        <w:tabs>
          <w:tab w:val="left" w:pos="1195"/>
        </w:tabs>
        <w:spacing w:before="2" w:line="360" w:lineRule="auto"/>
        <w:ind w:left="657" w:right="1690" w:firstLine="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10.2上述文件应按照谈判文件规定的格式填写、签署和盖章。</w:t>
      </w:r>
    </w:p>
    <w:p>
      <w:pPr>
        <w:pStyle w:val="68"/>
        <w:tabs>
          <w:tab w:val="left" w:pos="1195"/>
        </w:tabs>
        <w:spacing w:before="2" w:line="360" w:lineRule="auto"/>
        <w:ind w:left="657" w:right="1690" w:firstLine="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11.证明标的的合格性和符合谈判文件规定的技术文件</w:t>
      </w:r>
    </w:p>
    <w:p>
      <w:pPr>
        <w:pStyle w:val="68"/>
        <w:numPr>
          <w:ilvl w:val="1"/>
          <w:numId w:val="8"/>
        </w:numPr>
        <w:tabs>
          <w:tab w:val="left" w:pos="1195"/>
        </w:tabs>
        <w:spacing w:before="1" w:line="360" w:lineRule="auto"/>
        <w:ind w:right="356" w:firstLine="43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供应商应提交谈判文件要求的证明文件，证明其响应内容符合谈判文件规定。该证明文件是响应文件的一部分。</w:t>
      </w:r>
    </w:p>
    <w:p>
      <w:pPr>
        <w:pStyle w:val="68"/>
        <w:numPr>
          <w:ilvl w:val="1"/>
          <w:numId w:val="8"/>
        </w:numPr>
        <w:tabs>
          <w:tab w:val="left" w:pos="1195"/>
        </w:tabs>
        <w:spacing w:before="1" w:line="360" w:lineRule="auto"/>
        <w:ind w:left="1194" w:hanging="541"/>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上款所述的证明文件，可以是文字资料、图纸和数据。</w:t>
      </w:r>
    </w:p>
    <w:p>
      <w:pPr>
        <w:pStyle w:val="68"/>
        <w:numPr>
          <w:ilvl w:val="1"/>
          <w:numId w:val="8"/>
        </w:numPr>
        <w:tabs>
          <w:tab w:val="left" w:pos="1195"/>
        </w:tabs>
        <w:spacing w:before="161" w:line="360" w:lineRule="auto"/>
        <w:ind w:left="1194" w:hanging="541"/>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本条所指证明文件不包括对谈判文件相关部分的文字、图标的复制。</w:t>
      </w:r>
    </w:p>
    <w:p>
      <w:pPr>
        <w:pStyle w:val="68"/>
        <w:numPr>
          <w:ilvl w:val="1"/>
          <w:numId w:val="8"/>
        </w:numPr>
        <w:tabs>
          <w:tab w:val="left" w:pos="1195"/>
        </w:tabs>
        <w:spacing w:before="161" w:line="360" w:lineRule="auto"/>
        <w:ind w:right="358" w:firstLine="43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为保证公平公正，除非谈判文件另有规定或说明，供应商对同一项目谈判时，不得同时提供备选谈判方案。</w:t>
      </w:r>
    </w:p>
    <w:p>
      <w:pPr>
        <w:pStyle w:val="6"/>
        <w:keepNext w:val="0"/>
        <w:keepLines w:val="0"/>
        <w:numPr>
          <w:ilvl w:val="0"/>
          <w:numId w:val="9"/>
        </w:numPr>
        <w:tabs>
          <w:tab w:val="left" w:pos="1022"/>
        </w:tabs>
        <w:spacing w:before="1" w:after="0"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报价</w:t>
      </w:r>
    </w:p>
    <w:p>
      <w:pPr>
        <w:pStyle w:val="68"/>
        <w:numPr>
          <w:ilvl w:val="1"/>
          <w:numId w:val="9"/>
        </w:numPr>
        <w:tabs>
          <w:tab w:val="left" w:pos="1195"/>
        </w:tabs>
        <w:spacing w:before="161" w:line="360" w:lineRule="auto"/>
        <w:ind w:right="356" w:firstLine="43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供应商的报价应当包括满足本次谈判的全部内容。所有报价均应以人民币报价。供应商的谈判报价应遵守《中华人民共和国价格法》。</w:t>
      </w:r>
    </w:p>
    <w:p>
      <w:pPr>
        <w:pStyle w:val="68"/>
        <w:numPr>
          <w:ilvl w:val="1"/>
          <w:numId w:val="9"/>
        </w:numPr>
        <w:tabs>
          <w:tab w:val="left" w:pos="1195"/>
        </w:tabs>
        <w:spacing w:before="1" w:line="360" w:lineRule="auto"/>
        <w:ind w:right="356" w:firstLine="43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供应商应在分项报价表上标明谈判工程的单价（如适用）和总价。未标明的视同包含在谈判报价中。</w:t>
      </w:r>
    </w:p>
    <w:p>
      <w:pPr>
        <w:pStyle w:val="68"/>
        <w:numPr>
          <w:ilvl w:val="1"/>
          <w:numId w:val="9"/>
        </w:numPr>
        <w:tabs>
          <w:tab w:val="left" w:pos="1195"/>
        </w:tabs>
        <w:spacing w:before="1" w:line="360" w:lineRule="auto"/>
        <w:ind w:right="356" w:firstLine="43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供应商最后报价均不得高于谈判文件（公告）列明的项目预算、最高投标限价（控制价），否则其响应文件将被认定为响应无效。</w:t>
      </w:r>
    </w:p>
    <w:p>
      <w:pPr>
        <w:pStyle w:val="68"/>
        <w:numPr>
          <w:ilvl w:val="1"/>
          <w:numId w:val="9"/>
        </w:numPr>
        <w:tabs>
          <w:tab w:val="left" w:pos="1258"/>
        </w:tabs>
        <w:spacing w:before="161" w:line="360" w:lineRule="auto"/>
        <w:ind w:right="355" w:firstLine="43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报价在合同履行过程中是固定不变的，不得以任何理由予以变更。任何包含价格调整要求的谈判，其响应文件将被认定为</w:t>
      </w:r>
      <w:r>
        <w:rPr>
          <w:rFonts w:hint="eastAsia"/>
          <w:b/>
          <w:color w:val="000000" w:themeColor="text1"/>
          <w:sz w:val="21"/>
          <w:szCs w:val="21"/>
          <w14:textFill>
            <w14:solidFill>
              <w14:schemeClr w14:val="tx1"/>
            </w14:solidFill>
          </w14:textFill>
        </w:rPr>
        <w:t>响应无效</w:t>
      </w:r>
      <w:r>
        <w:rPr>
          <w:rFonts w:hint="eastAsia"/>
          <w:color w:val="000000" w:themeColor="text1"/>
          <w:sz w:val="21"/>
          <w:szCs w:val="21"/>
          <w14:textFill>
            <w14:solidFill>
              <w14:schemeClr w14:val="tx1"/>
            </w14:solidFill>
          </w14:textFill>
        </w:rPr>
        <w:t>。</w:t>
      </w:r>
    </w:p>
    <w:p>
      <w:pPr>
        <w:pStyle w:val="68"/>
        <w:tabs>
          <w:tab w:val="left" w:pos="1195"/>
        </w:tabs>
        <w:spacing w:before="1" w:line="360" w:lineRule="auto"/>
        <w:ind w:left="657" w:right="3849" w:firstLine="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12.5采购人不接受具有附加条件的报价。</w:t>
      </w:r>
    </w:p>
    <w:p>
      <w:pPr>
        <w:pStyle w:val="68"/>
        <w:tabs>
          <w:tab w:val="left" w:pos="1195"/>
        </w:tabs>
        <w:spacing w:before="1" w:line="360" w:lineRule="auto"/>
        <w:ind w:left="657" w:right="3849" w:firstLine="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13.谈判保证金</w:t>
      </w:r>
    </w:p>
    <w:p>
      <w:pPr>
        <w:pStyle w:val="68"/>
        <w:tabs>
          <w:tab w:val="left" w:pos="1256"/>
        </w:tabs>
        <w:spacing w:before="1" w:line="360" w:lineRule="auto"/>
        <w:ind w:left="657" w:right="1150" w:firstLine="0"/>
        <w:rPr>
          <w:b/>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免收</w:t>
      </w:r>
    </w:p>
    <w:p>
      <w:pPr>
        <w:pStyle w:val="68"/>
        <w:tabs>
          <w:tab w:val="left" w:pos="1256"/>
        </w:tabs>
        <w:spacing w:before="1" w:line="360" w:lineRule="auto"/>
        <w:ind w:left="657" w:right="1150" w:firstLine="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14.谈判有效期</w:t>
      </w:r>
    </w:p>
    <w:p>
      <w:pPr>
        <w:pStyle w:val="68"/>
        <w:numPr>
          <w:ilvl w:val="1"/>
          <w:numId w:val="10"/>
        </w:numPr>
        <w:tabs>
          <w:tab w:val="left" w:pos="1195"/>
        </w:tabs>
        <w:spacing w:before="2" w:line="360" w:lineRule="auto"/>
        <w:ind w:right="356" w:firstLine="43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谈判有效期为从响应文件提交截止之日算起的日历天数，谈判有效期详见</w:t>
      </w:r>
      <w:r>
        <w:rPr>
          <w:rFonts w:hint="eastAsia"/>
          <w:color w:val="000000" w:themeColor="text1"/>
          <w:sz w:val="21"/>
          <w:szCs w:val="21"/>
          <w:u w:val="single"/>
          <w14:textFill>
            <w14:solidFill>
              <w14:schemeClr w14:val="tx1"/>
            </w14:solidFill>
          </w14:textFill>
        </w:rPr>
        <w:t>供应商须知前附表</w:t>
      </w:r>
      <w:r>
        <w:rPr>
          <w:rFonts w:hint="eastAsia"/>
          <w:color w:val="000000" w:themeColor="text1"/>
          <w:sz w:val="21"/>
          <w:szCs w:val="21"/>
          <w14:textFill>
            <w14:solidFill>
              <w14:schemeClr w14:val="tx1"/>
            </w14:solidFill>
          </w14:textFill>
        </w:rPr>
        <w:t>。</w:t>
      </w:r>
    </w:p>
    <w:p>
      <w:pPr>
        <w:pStyle w:val="68"/>
        <w:numPr>
          <w:ilvl w:val="1"/>
          <w:numId w:val="10"/>
        </w:numPr>
        <w:tabs>
          <w:tab w:val="left" w:pos="1195"/>
        </w:tabs>
        <w:spacing w:before="1" w:line="360" w:lineRule="auto"/>
        <w:ind w:right="236" w:firstLine="43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在谈判有效期内，供应商的谈判保持有效，供应商不得要求撤销或修改其响应文件。谈判有效期不满足要求的响应，其响应文件将被认定为</w:t>
      </w:r>
      <w:r>
        <w:rPr>
          <w:rFonts w:hint="eastAsia"/>
          <w:b/>
          <w:color w:val="000000" w:themeColor="text1"/>
          <w:sz w:val="21"/>
          <w:szCs w:val="21"/>
          <w14:textFill>
            <w14:solidFill>
              <w14:schemeClr w14:val="tx1"/>
            </w14:solidFill>
          </w14:textFill>
        </w:rPr>
        <w:t>响应无效</w:t>
      </w:r>
      <w:r>
        <w:rPr>
          <w:rFonts w:hint="eastAsia"/>
          <w:color w:val="000000" w:themeColor="text1"/>
          <w:sz w:val="21"/>
          <w:szCs w:val="21"/>
          <w14:textFill>
            <w14:solidFill>
              <w14:schemeClr w14:val="tx1"/>
            </w14:solidFill>
          </w14:textFill>
        </w:rPr>
        <w:t>。</w:t>
      </w:r>
    </w:p>
    <w:p>
      <w:pPr>
        <w:pStyle w:val="68"/>
        <w:numPr>
          <w:ilvl w:val="1"/>
          <w:numId w:val="10"/>
        </w:numPr>
        <w:tabs>
          <w:tab w:val="left" w:pos="1207"/>
        </w:tabs>
        <w:spacing w:before="2" w:line="360" w:lineRule="auto"/>
        <w:ind w:right="236" w:firstLine="43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为保证有充分时间签订合同，采购人或采购代理机构可根据实际情况， 在原谈判有效期截止之前，要求供应商延长谈判有效期。接受该要求的供应商将不会被要求和允许修正其响应文件。供应商也可以拒绝延长谈判有效期的要求， 且不承担任何责任。上述要求和答复都应以书面形式提交。</w:t>
      </w:r>
    </w:p>
    <w:p>
      <w:pPr>
        <w:pStyle w:val="6"/>
        <w:keepNext w:val="0"/>
        <w:keepLines w:val="0"/>
        <w:numPr>
          <w:ilvl w:val="0"/>
          <w:numId w:val="11"/>
        </w:numPr>
        <w:tabs>
          <w:tab w:val="left" w:pos="1022"/>
        </w:tabs>
        <w:spacing w:before="2" w:after="0" w:line="360" w:lineRule="auto"/>
        <w:rPr>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响应文件的制作</w:t>
      </w:r>
    </w:p>
    <w:p>
      <w:pPr>
        <w:pStyle w:val="6"/>
        <w:keepNext w:val="0"/>
        <w:keepLines w:val="0"/>
        <w:tabs>
          <w:tab w:val="left" w:pos="1022"/>
        </w:tabs>
        <w:spacing w:before="2" w:after="0" w:line="360" w:lineRule="auto"/>
        <w:ind w:firstLine="630" w:firstLineChars="300"/>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15.1响应文件应用不褪色的材料书写或打印，并按</w:t>
      </w:r>
      <w:r>
        <w:rPr>
          <w:rFonts w:hint="eastAsia"/>
          <w:b w:val="0"/>
          <w:bCs w:val="0"/>
          <w:color w:val="000000" w:themeColor="text1"/>
          <w:sz w:val="21"/>
          <w:szCs w:val="21"/>
          <w:lang w:eastAsia="zh-CN"/>
          <w14:textFill>
            <w14:solidFill>
              <w14:schemeClr w14:val="tx1"/>
            </w14:solidFill>
          </w14:textFill>
        </w:rPr>
        <w:t>谈判</w:t>
      </w:r>
      <w:r>
        <w:rPr>
          <w:b w:val="0"/>
          <w:bCs w:val="0"/>
          <w:color w:val="000000" w:themeColor="text1"/>
          <w:sz w:val="21"/>
          <w:szCs w:val="21"/>
          <w14:textFill>
            <w14:solidFill>
              <w14:schemeClr w14:val="tx1"/>
            </w14:solidFill>
          </w14:textFill>
        </w:rPr>
        <w:t>文件规定的格式由供应商的法定代表人或其委托代理人签字和盖单位章。委托代理人签字的，响应文件应附法定代表人签署的授权委托书。响应文件不得进行涂改、行间插字或删除。如果出现上述情况，响应文件不予评审。</w:t>
      </w:r>
    </w:p>
    <w:p>
      <w:pPr>
        <w:pStyle w:val="68"/>
        <w:numPr>
          <w:ilvl w:val="0"/>
          <w:numId w:val="11"/>
        </w:numPr>
        <w:tabs>
          <w:tab w:val="left" w:pos="1195"/>
        </w:tabs>
        <w:spacing w:before="161" w:line="360" w:lineRule="auto"/>
        <w:ind w:right="1928"/>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响应文件提交截止时间</w:t>
      </w:r>
    </w:p>
    <w:p>
      <w:pPr>
        <w:pStyle w:val="6"/>
        <w:keepNext w:val="0"/>
        <w:keepLines w:val="0"/>
        <w:tabs>
          <w:tab w:val="left" w:pos="1022"/>
        </w:tabs>
        <w:spacing w:before="2" w:after="0" w:line="360" w:lineRule="auto"/>
        <w:ind w:firstLine="630" w:firstLineChars="300"/>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1</w:t>
      </w:r>
      <w:r>
        <w:rPr>
          <w:b w:val="0"/>
          <w:bCs w:val="0"/>
          <w:color w:val="000000" w:themeColor="text1"/>
          <w:sz w:val="21"/>
          <w:szCs w:val="21"/>
          <w14:textFill>
            <w14:solidFill>
              <w14:schemeClr w14:val="tx1"/>
            </w14:solidFill>
          </w14:textFill>
        </w:rPr>
        <w:t>6.1供应商应在供应商须知前附表中规定的响应文件提交截止时间前，提交响应文件。</w:t>
      </w:r>
    </w:p>
    <w:p>
      <w:pPr>
        <w:pStyle w:val="6"/>
        <w:keepNext w:val="0"/>
        <w:keepLines w:val="0"/>
        <w:numPr>
          <w:ilvl w:val="0"/>
          <w:numId w:val="12"/>
        </w:numPr>
        <w:tabs>
          <w:tab w:val="left" w:pos="1022"/>
        </w:tabs>
        <w:spacing w:before="2" w:after="0"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响应文件的提交、修改与撤回</w:t>
      </w:r>
    </w:p>
    <w:p>
      <w:pPr>
        <w:pStyle w:val="6"/>
        <w:keepNext w:val="0"/>
        <w:keepLines w:val="0"/>
        <w:tabs>
          <w:tab w:val="left" w:pos="1022"/>
        </w:tabs>
        <w:spacing w:before="2" w:after="0" w:line="360" w:lineRule="auto"/>
        <w:ind w:firstLine="630" w:firstLineChars="300"/>
        <w:rPr>
          <w:b w:val="0"/>
          <w:bCs w:val="0"/>
          <w:color w:val="000000" w:themeColor="text1"/>
          <w:sz w:val="21"/>
          <w:szCs w:val="21"/>
          <w14:textFill>
            <w14:solidFill>
              <w14:schemeClr w14:val="tx1"/>
            </w14:solidFill>
          </w14:textFill>
        </w:rPr>
      </w:pPr>
      <w:r>
        <w:rPr>
          <w:rFonts w:hint="eastAsia"/>
          <w:b w:val="0"/>
          <w:bCs w:val="0"/>
          <w:color w:val="000000" w:themeColor="text1"/>
          <w:sz w:val="21"/>
          <w:szCs w:val="21"/>
          <w:lang w:val="en-US"/>
          <w14:textFill>
            <w14:solidFill>
              <w14:schemeClr w14:val="tx1"/>
            </w14:solidFill>
          </w14:textFill>
        </w:rPr>
        <w:t>17.1</w:t>
      </w:r>
      <w:r>
        <w:rPr>
          <w:rFonts w:hint="eastAsia"/>
          <w:b w:val="0"/>
          <w:bCs w:val="0"/>
          <w:color w:val="000000" w:themeColor="text1"/>
          <w:sz w:val="21"/>
          <w:szCs w:val="21"/>
          <w14:textFill>
            <w14:solidFill>
              <w14:schemeClr w14:val="tx1"/>
            </w14:solidFill>
          </w14:textFill>
        </w:rPr>
        <w:t>供应商应当在第一章“谈判公告（谈判邀请）”规定的响应文件提交截止时间前，将的响应文件上传。</w:t>
      </w:r>
    </w:p>
    <w:p>
      <w:pPr>
        <w:pStyle w:val="6"/>
        <w:keepNext w:val="0"/>
        <w:keepLines w:val="0"/>
        <w:tabs>
          <w:tab w:val="left" w:pos="1022"/>
        </w:tabs>
        <w:spacing w:before="2" w:after="0" w:line="360" w:lineRule="auto"/>
        <w:ind w:firstLine="630" w:firstLineChars="300"/>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17.2供应商应充分考虑上传响应文件时的不可预见因素，逾期未递交响应文件，响应无效。</w:t>
      </w:r>
    </w:p>
    <w:p>
      <w:pPr>
        <w:pStyle w:val="6"/>
        <w:keepNext w:val="0"/>
        <w:keepLines w:val="0"/>
        <w:tabs>
          <w:tab w:val="left" w:pos="1022"/>
        </w:tabs>
        <w:spacing w:before="2" w:after="0" w:line="360" w:lineRule="auto"/>
        <w:ind w:firstLine="630" w:firstLineChars="300"/>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17.3供应商应当在提交截止时间前完成响应文件的递交，并可以补充、修改或者撤回响应文件。提交截止时间前未完成响应文件递交的，视为撤回响应文件。未按规定或提交截止时间后送达的响应文件，采购人应当拒收。</w:t>
      </w:r>
    </w:p>
    <w:p>
      <w:pPr>
        <w:pStyle w:val="6"/>
        <w:keepNext w:val="0"/>
        <w:keepLines w:val="0"/>
        <w:tabs>
          <w:tab w:val="left" w:pos="1022"/>
        </w:tabs>
        <w:spacing w:before="2" w:after="0" w:line="360" w:lineRule="auto"/>
        <w:ind w:left="657"/>
        <w:rPr>
          <w:rFonts w:ascii="宋体" w:hAnsi="宋体"/>
          <w:color w:val="000000" w:themeColor="text1"/>
          <w:sz w:val="21"/>
          <w:szCs w:val="21"/>
          <w14:textFill>
            <w14:solidFill>
              <w14:schemeClr w14:val="tx1"/>
            </w14:solidFill>
          </w14:textFill>
        </w:rPr>
      </w:pPr>
      <w:r>
        <w:rPr>
          <w:rFonts w:hint="eastAsia" w:ascii="宋体" w:hAnsi="宋体"/>
          <w:b w:val="0"/>
          <w:bCs w:val="0"/>
          <w:color w:val="000000" w:themeColor="text1"/>
          <w:sz w:val="21"/>
          <w:szCs w:val="21"/>
          <w14:textFill>
            <w14:solidFill>
              <w14:schemeClr w14:val="tx1"/>
            </w14:solidFill>
          </w14:textFill>
        </w:rPr>
        <w:t>1</w:t>
      </w:r>
      <w:r>
        <w:rPr>
          <w:rFonts w:ascii="宋体" w:hAnsi="宋体"/>
          <w:b w:val="0"/>
          <w:bCs w:val="0"/>
          <w:color w:val="000000" w:themeColor="text1"/>
          <w:sz w:val="21"/>
          <w:szCs w:val="21"/>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谈判小组</w:t>
      </w:r>
    </w:p>
    <w:p>
      <w:pPr>
        <w:pStyle w:val="6"/>
        <w:keepNext w:val="0"/>
        <w:keepLines w:val="0"/>
        <w:tabs>
          <w:tab w:val="left" w:pos="1022"/>
        </w:tabs>
        <w:spacing w:before="2" w:after="0" w:line="360" w:lineRule="auto"/>
        <w:ind w:firstLine="630" w:firstLineChars="300"/>
        <w:rPr>
          <w:b w:val="0"/>
          <w:bCs w:val="0"/>
          <w:color w:val="000000" w:themeColor="text1"/>
          <w:sz w:val="21"/>
          <w:szCs w:val="21"/>
          <w:lang w:val="en-US"/>
          <w14:textFill>
            <w14:solidFill>
              <w14:schemeClr w14:val="tx1"/>
            </w14:solidFill>
          </w14:textFill>
        </w:rPr>
      </w:pPr>
      <w:r>
        <w:rPr>
          <w:rFonts w:hint="eastAsia"/>
          <w:b w:val="0"/>
          <w:bCs w:val="0"/>
          <w:color w:val="000000" w:themeColor="text1"/>
          <w:sz w:val="21"/>
          <w:szCs w:val="21"/>
          <w:lang w:val="en-US"/>
          <w14:textFill>
            <w14:solidFill>
              <w14:schemeClr w14:val="tx1"/>
            </w14:solidFill>
          </w14:textFill>
        </w:rPr>
        <w:t>18.1本项目将依法组建谈判小组，谈判小组成员由 3 人以上单数组成，谈判小组及其成员应当依照采购的有关规定履行相关职责和义务。</w:t>
      </w:r>
    </w:p>
    <w:p>
      <w:pPr>
        <w:pStyle w:val="6"/>
        <w:keepNext w:val="0"/>
        <w:keepLines w:val="0"/>
        <w:tabs>
          <w:tab w:val="left" w:pos="1022"/>
        </w:tabs>
        <w:spacing w:before="2" w:after="0" w:line="360" w:lineRule="auto"/>
        <w:ind w:firstLine="630" w:firstLineChars="300"/>
        <w:rPr>
          <w:b w:val="0"/>
          <w:bCs w:val="0"/>
          <w:color w:val="000000" w:themeColor="text1"/>
          <w:sz w:val="21"/>
          <w:szCs w:val="21"/>
          <w:lang w:val="en-US"/>
          <w14:textFill>
            <w14:solidFill>
              <w14:schemeClr w14:val="tx1"/>
            </w14:solidFill>
          </w14:textFill>
        </w:rPr>
      </w:pPr>
      <w:r>
        <w:rPr>
          <w:rFonts w:hint="eastAsia"/>
          <w:b w:val="0"/>
          <w:bCs w:val="0"/>
          <w:color w:val="000000" w:themeColor="text1"/>
          <w:sz w:val="21"/>
          <w:szCs w:val="21"/>
          <w:lang w:val="en-US"/>
          <w14:textFill>
            <w14:solidFill>
              <w14:schemeClr w14:val="tx1"/>
            </w14:solidFill>
          </w14:textFill>
        </w:rPr>
        <w:t>18.2谈判小组依法对响应文件进行评审，并根据谈判文件规定的程序、评定成交的标准等事项与实质性响应谈判文件要求的供应商进行谈判。</w:t>
      </w:r>
    </w:p>
    <w:p>
      <w:pPr>
        <w:pStyle w:val="6"/>
        <w:keepNext w:val="0"/>
        <w:keepLines w:val="0"/>
        <w:tabs>
          <w:tab w:val="left" w:pos="1022"/>
        </w:tabs>
        <w:spacing w:before="2" w:after="0" w:line="360" w:lineRule="auto"/>
        <w:ind w:firstLine="630" w:firstLineChars="300"/>
        <w:rPr>
          <w:b w:val="0"/>
          <w:bCs w:val="0"/>
          <w:color w:val="000000" w:themeColor="text1"/>
          <w:sz w:val="21"/>
          <w:szCs w:val="21"/>
          <w:lang w:val="en-US"/>
          <w14:textFill>
            <w14:solidFill>
              <w14:schemeClr w14:val="tx1"/>
            </w14:solidFill>
          </w14:textFill>
        </w:rPr>
      </w:pPr>
      <w:r>
        <w:rPr>
          <w:rFonts w:hint="eastAsia"/>
          <w:b w:val="0"/>
          <w:bCs w:val="0"/>
          <w:color w:val="000000" w:themeColor="text1"/>
          <w:sz w:val="21"/>
          <w:szCs w:val="21"/>
          <w:lang w:val="en-US"/>
          <w14:textFill>
            <w14:solidFill>
              <w14:schemeClr w14:val="tx1"/>
            </w14:solidFill>
          </w14:textFill>
        </w:rPr>
        <w:t>18.3谈判小组应当从质量和服务均能满足谈判文件实质性响应要求的供应商中，按照评审方法和标准推荐成交候选人，并编写评审报告。</w:t>
      </w:r>
    </w:p>
    <w:p>
      <w:pPr>
        <w:pStyle w:val="68"/>
        <w:tabs>
          <w:tab w:val="left" w:pos="1195"/>
        </w:tabs>
        <w:spacing w:before="1" w:line="360" w:lineRule="auto"/>
        <w:ind w:left="654" w:right="361" w:firstLine="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19.响应文件的评审与谈判</w:t>
      </w:r>
    </w:p>
    <w:p>
      <w:pPr>
        <w:pStyle w:val="6"/>
        <w:keepNext w:val="0"/>
        <w:keepLines w:val="0"/>
        <w:tabs>
          <w:tab w:val="left" w:pos="1022"/>
        </w:tabs>
        <w:spacing w:before="2" w:after="0" w:line="360" w:lineRule="auto"/>
        <w:ind w:firstLine="630" w:firstLineChars="300"/>
        <w:rPr>
          <w:b w:val="0"/>
          <w:bCs w:val="0"/>
          <w:color w:val="000000" w:themeColor="text1"/>
          <w:sz w:val="21"/>
          <w:szCs w:val="21"/>
          <w:lang w:val="en-US"/>
          <w14:textFill>
            <w14:solidFill>
              <w14:schemeClr w14:val="tx1"/>
            </w14:solidFill>
          </w14:textFill>
        </w:rPr>
      </w:pPr>
      <w:r>
        <w:rPr>
          <w:rFonts w:hint="eastAsia"/>
          <w:b w:val="0"/>
          <w:bCs w:val="0"/>
          <w:color w:val="000000" w:themeColor="text1"/>
          <w:sz w:val="21"/>
          <w:szCs w:val="21"/>
          <w:lang w:val="en-US"/>
          <w14:textFill>
            <w14:solidFill>
              <w14:schemeClr w14:val="tx1"/>
            </w14:solidFill>
          </w14:textFill>
        </w:rPr>
        <w:t>19.1采购人和采购代理机构将在供应商须知前附表规定的时间和地点组织谈判。</w:t>
      </w:r>
    </w:p>
    <w:p>
      <w:pPr>
        <w:pStyle w:val="6"/>
        <w:keepNext w:val="0"/>
        <w:keepLines w:val="0"/>
        <w:tabs>
          <w:tab w:val="left" w:pos="1022"/>
        </w:tabs>
        <w:spacing w:before="2" w:after="0" w:line="360" w:lineRule="auto"/>
        <w:ind w:firstLine="630" w:firstLineChars="300"/>
        <w:rPr>
          <w:b w:val="0"/>
          <w:bCs w:val="0"/>
          <w:color w:val="000000" w:themeColor="text1"/>
          <w:sz w:val="21"/>
          <w:szCs w:val="21"/>
          <w:lang w:val="en-US"/>
          <w14:textFill>
            <w14:solidFill>
              <w14:schemeClr w14:val="tx1"/>
            </w14:solidFill>
          </w14:textFill>
        </w:rPr>
      </w:pPr>
      <w:r>
        <w:rPr>
          <w:rFonts w:hint="eastAsia"/>
          <w:b w:val="0"/>
          <w:bCs w:val="0"/>
          <w:color w:val="000000" w:themeColor="text1"/>
          <w:sz w:val="21"/>
          <w:szCs w:val="21"/>
          <w:lang w:val="en-US"/>
          <w14:textFill>
            <w14:solidFill>
              <w14:schemeClr w14:val="tx1"/>
            </w14:solidFill>
          </w14:textFill>
        </w:rPr>
        <w:t>19.2谈判采用最低评标价法评审。</w:t>
      </w:r>
    </w:p>
    <w:p>
      <w:pPr>
        <w:pStyle w:val="6"/>
        <w:keepNext w:val="0"/>
        <w:keepLines w:val="0"/>
        <w:tabs>
          <w:tab w:val="left" w:pos="1022"/>
        </w:tabs>
        <w:spacing w:before="2" w:after="0" w:line="360" w:lineRule="auto"/>
        <w:ind w:firstLine="630" w:firstLineChars="300"/>
        <w:rPr>
          <w:b w:val="0"/>
          <w:bCs w:val="0"/>
          <w:color w:val="000000" w:themeColor="text1"/>
          <w:sz w:val="21"/>
          <w:szCs w:val="21"/>
          <w:lang w:val="en-US"/>
          <w14:textFill>
            <w14:solidFill>
              <w14:schemeClr w14:val="tx1"/>
            </w14:solidFill>
          </w14:textFill>
        </w:rPr>
      </w:pPr>
      <w:r>
        <w:rPr>
          <w:rFonts w:hint="eastAsia"/>
          <w:b w:val="0"/>
          <w:bCs w:val="0"/>
          <w:color w:val="000000" w:themeColor="text1"/>
          <w:sz w:val="21"/>
          <w:szCs w:val="21"/>
          <w:lang w:val="en-US"/>
          <w14:textFill>
            <w14:solidFill>
              <w14:schemeClr w14:val="tx1"/>
            </w14:solidFill>
          </w14:textFill>
        </w:rPr>
        <w:t>19.2.1最低评标价法，是指响应文件满足谈判文件全部实质性要求且最后报价最低的供应商为成交候选人的评审办法。</w:t>
      </w:r>
    </w:p>
    <w:p>
      <w:pPr>
        <w:pStyle w:val="6"/>
        <w:keepNext w:val="0"/>
        <w:keepLines w:val="0"/>
        <w:tabs>
          <w:tab w:val="left" w:pos="1022"/>
        </w:tabs>
        <w:spacing w:before="2" w:after="0" w:line="360" w:lineRule="auto"/>
        <w:ind w:firstLine="630" w:firstLineChars="300"/>
        <w:rPr>
          <w:b w:val="0"/>
          <w:bCs w:val="0"/>
          <w:color w:val="000000" w:themeColor="text1"/>
          <w:sz w:val="21"/>
          <w:szCs w:val="21"/>
          <w:lang w:val="en-US"/>
          <w14:textFill>
            <w14:solidFill>
              <w14:schemeClr w14:val="tx1"/>
            </w14:solidFill>
          </w14:textFill>
        </w:rPr>
      </w:pPr>
      <w:r>
        <w:rPr>
          <w:rFonts w:hint="eastAsia"/>
          <w:b w:val="0"/>
          <w:bCs w:val="0"/>
          <w:color w:val="000000" w:themeColor="text1"/>
          <w:sz w:val="21"/>
          <w:szCs w:val="21"/>
          <w:lang w:val="en-US"/>
          <w14:textFill>
            <w14:solidFill>
              <w14:schemeClr w14:val="tx1"/>
            </w14:solidFill>
          </w14:textFill>
        </w:rPr>
        <w:t>19.2.2谈判小组将按照谈判文件规定的评审办法和标准对供应商独立进行评审。</w:t>
      </w:r>
    </w:p>
    <w:p>
      <w:pPr>
        <w:pStyle w:val="6"/>
        <w:keepNext w:val="0"/>
        <w:keepLines w:val="0"/>
        <w:tabs>
          <w:tab w:val="left" w:pos="1022"/>
        </w:tabs>
        <w:spacing w:before="2" w:after="0" w:line="360" w:lineRule="auto"/>
        <w:ind w:firstLine="630" w:firstLineChars="300"/>
        <w:rPr>
          <w:b w:val="0"/>
          <w:bCs w:val="0"/>
          <w:color w:val="000000" w:themeColor="text1"/>
          <w:sz w:val="21"/>
          <w:szCs w:val="21"/>
          <w:lang w:val="en-US"/>
          <w14:textFill>
            <w14:solidFill>
              <w14:schemeClr w14:val="tx1"/>
            </w14:solidFill>
          </w14:textFill>
        </w:rPr>
      </w:pPr>
      <w:r>
        <w:rPr>
          <w:rFonts w:hint="eastAsia"/>
          <w:b w:val="0"/>
          <w:bCs w:val="0"/>
          <w:color w:val="000000" w:themeColor="text1"/>
          <w:sz w:val="21"/>
          <w:szCs w:val="21"/>
          <w:lang w:val="en-US"/>
          <w14:textFill>
            <w14:solidFill>
              <w14:schemeClr w14:val="tx1"/>
            </w14:solidFill>
          </w14:textFill>
        </w:rPr>
        <w:t>19.2.3评审程序如下：</w:t>
      </w:r>
    </w:p>
    <w:p>
      <w:pPr>
        <w:pStyle w:val="6"/>
        <w:keepNext w:val="0"/>
        <w:keepLines w:val="0"/>
        <w:tabs>
          <w:tab w:val="left" w:pos="1022"/>
        </w:tabs>
        <w:spacing w:before="2" w:after="0" w:line="360" w:lineRule="auto"/>
        <w:ind w:firstLine="630" w:firstLineChars="300"/>
        <w:rPr>
          <w:rFonts w:ascii="宋体" w:hAnsi="宋体"/>
          <w:b w:val="0"/>
          <w:bCs w:val="0"/>
          <w:color w:val="000000" w:themeColor="text1"/>
          <w:sz w:val="21"/>
          <w:szCs w:val="21"/>
          <w:lang w:val="en-US"/>
          <w14:textFill>
            <w14:solidFill>
              <w14:schemeClr w14:val="tx1"/>
            </w14:solidFill>
          </w14:textFill>
        </w:rPr>
      </w:pPr>
      <w:r>
        <w:rPr>
          <w:rFonts w:hint="eastAsia" w:ascii="宋体" w:hAnsi="宋体"/>
          <w:b w:val="0"/>
          <w:bCs w:val="0"/>
          <w:color w:val="000000" w:themeColor="text1"/>
          <w:sz w:val="21"/>
          <w:szCs w:val="21"/>
          <w:lang w:val="en-US"/>
          <w14:textFill>
            <w14:solidFill>
              <w14:schemeClr w14:val="tx1"/>
            </w14:solidFill>
          </w14:textFill>
        </w:rPr>
        <w:t>①初审。谈判小组对供应商必须满足和实质性响应的内容进行评审，供应商未实质性响应谈判文件要求导致响应无效的，谈判小组将以书面询标的方式告知有关供应商。</w:t>
      </w:r>
    </w:p>
    <w:p>
      <w:pPr>
        <w:pStyle w:val="6"/>
        <w:keepNext w:val="0"/>
        <w:keepLines w:val="0"/>
        <w:tabs>
          <w:tab w:val="left" w:pos="1022"/>
        </w:tabs>
        <w:spacing w:before="2" w:after="0" w:line="360" w:lineRule="auto"/>
        <w:ind w:firstLine="630" w:firstLineChars="300"/>
        <w:rPr>
          <w:rFonts w:ascii="宋体" w:hAnsi="宋体"/>
          <w:b w:val="0"/>
          <w:bCs w:val="0"/>
          <w:color w:val="000000" w:themeColor="text1"/>
          <w:sz w:val="21"/>
          <w:szCs w:val="21"/>
          <w:lang w:val="en-US"/>
          <w14:textFill>
            <w14:solidFill>
              <w14:schemeClr w14:val="tx1"/>
            </w14:solidFill>
          </w14:textFill>
        </w:rPr>
      </w:pPr>
      <w:r>
        <w:rPr>
          <w:rFonts w:hint="eastAsia" w:ascii="宋体" w:hAnsi="宋体"/>
          <w:b w:val="0"/>
          <w:bCs w:val="0"/>
          <w:color w:val="000000" w:themeColor="text1"/>
          <w:sz w:val="21"/>
          <w:szCs w:val="21"/>
          <w:lang w:val="en-US"/>
          <w14:textFill>
            <w14:solidFill>
              <w14:schemeClr w14:val="tx1"/>
            </w14:solidFill>
          </w14:textFill>
        </w:rPr>
        <w:t>②谈判。初审合格后，谈判小组将按响应文件提交顺序集中与单一供应商分别进行谈判，并给予所有参加谈判的供应商平等的谈判机会， 如供应商未到谈判现场的，视同放弃该权利。</w:t>
      </w:r>
    </w:p>
    <w:p>
      <w:pPr>
        <w:pStyle w:val="6"/>
        <w:keepNext w:val="0"/>
        <w:keepLines w:val="0"/>
        <w:tabs>
          <w:tab w:val="left" w:pos="1022"/>
        </w:tabs>
        <w:spacing w:before="2" w:after="0" w:line="360" w:lineRule="auto"/>
        <w:ind w:firstLine="630" w:firstLineChars="300"/>
        <w:rPr>
          <w:rFonts w:ascii="宋体" w:hAnsi="宋体"/>
          <w:b w:val="0"/>
          <w:bCs w:val="0"/>
          <w:color w:val="000000" w:themeColor="text1"/>
          <w:sz w:val="21"/>
          <w:szCs w:val="21"/>
          <w:lang w:val="en-US"/>
          <w14:textFill>
            <w14:solidFill>
              <w14:schemeClr w14:val="tx1"/>
            </w14:solidFill>
          </w14:textFill>
        </w:rPr>
      </w:pPr>
      <w:r>
        <w:rPr>
          <w:rFonts w:hint="eastAsia" w:ascii="宋体" w:hAnsi="宋体"/>
          <w:b w:val="0"/>
          <w:bCs w:val="0"/>
          <w:color w:val="000000" w:themeColor="text1"/>
          <w:sz w:val="21"/>
          <w:szCs w:val="21"/>
          <w:lang w:val="en-US"/>
          <w14:textFill>
            <w14:solidFill>
              <w14:schemeClr w14:val="tx1"/>
            </w14:solidFill>
          </w14:textFill>
        </w:rPr>
        <w:t>③报价。谈判结束后，谈判小组应当要求所有继续参加谈判的供应商在规定时间内提交最后报价。</w:t>
      </w:r>
    </w:p>
    <w:p>
      <w:pPr>
        <w:pStyle w:val="6"/>
        <w:keepNext w:val="0"/>
        <w:keepLines w:val="0"/>
        <w:tabs>
          <w:tab w:val="left" w:pos="1022"/>
        </w:tabs>
        <w:spacing w:before="2" w:after="0" w:line="360" w:lineRule="auto"/>
        <w:ind w:firstLine="630" w:firstLineChars="300"/>
        <w:rPr>
          <w:rFonts w:ascii="宋体" w:hAnsi="宋体"/>
          <w:b w:val="0"/>
          <w:bCs w:val="0"/>
          <w:color w:val="000000" w:themeColor="text1"/>
          <w:sz w:val="21"/>
          <w:szCs w:val="21"/>
          <w:lang w:val="en-US"/>
          <w14:textFill>
            <w14:solidFill>
              <w14:schemeClr w14:val="tx1"/>
            </w14:solidFill>
          </w14:textFill>
        </w:rPr>
      </w:pPr>
      <w:r>
        <w:rPr>
          <w:rFonts w:hint="eastAsia" w:ascii="宋体" w:hAnsi="宋体"/>
          <w:b w:val="0"/>
          <w:bCs w:val="0"/>
          <w:color w:val="000000" w:themeColor="text1"/>
          <w:sz w:val="21"/>
          <w:szCs w:val="21"/>
          <w:lang w:val="en-US"/>
          <w14:textFill>
            <w14:solidFill>
              <w14:schemeClr w14:val="tx1"/>
            </w14:solidFill>
          </w14:textFill>
        </w:rPr>
        <w:t>④相关说明。</w:t>
      </w:r>
    </w:p>
    <w:p>
      <w:pPr>
        <w:pStyle w:val="6"/>
        <w:keepNext w:val="0"/>
        <w:keepLines w:val="0"/>
        <w:tabs>
          <w:tab w:val="left" w:pos="1022"/>
        </w:tabs>
        <w:spacing w:before="2" w:after="0" w:line="360" w:lineRule="auto"/>
        <w:ind w:firstLine="630" w:firstLineChars="300"/>
        <w:rPr>
          <w:b w:val="0"/>
          <w:bCs w:val="0"/>
          <w:color w:val="000000" w:themeColor="text1"/>
          <w:sz w:val="21"/>
          <w:szCs w:val="21"/>
          <w:lang w:val="en-US"/>
          <w14:textFill>
            <w14:solidFill>
              <w14:schemeClr w14:val="tx1"/>
            </w14:solidFill>
          </w14:textFill>
        </w:rPr>
      </w:pPr>
      <w:r>
        <w:rPr>
          <w:rFonts w:hint="eastAsia"/>
          <w:b w:val="0"/>
          <w:bCs w:val="0"/>
          <w:color w:val="000000" w:themeColor="text1"/>
          <w:sz w:val="21"/>
          <w:szCs w:val="21"/>
          <w:lang w:val="en-US"/>
          <w14:textFill>
            <w14:solidFill>
              <w14:schemeClr w14:val="tx1"/>
            </w14:solidFill>
          </w14:textFill>
        </w:rPr>
        <w:t>19.2.4为保证谈判活动顺利进行，供应商可派相关技术人员进行答疑；</w:t>
      </w:r>
    </w:p>
    <w:p>
      <w:pPr>
        <w:pStyle w:val="6"/>
        <w:keepNext w:val="0"/>
        <w:keepLines w:val="0"/>
        <w:tabs>
          <w:tab w:val="left" w:pos="1022"/>
        </w:tabs>
        <w:spacing w:before="2" w:after="0" w:line="360" w:lineRule="auto"/>
        <w:ind w:firstLine="630" w:firstLineChars="300"/>
        <w:rPr>
          <w:b w:val="0"/>
          <w:bCs w:val="0"/>
          <w:color w:val="000000" w:themeColor="text1"/>
          <w:sz w:val="21"/>
          <w:szCs w:val="21"/>
          <w:lang w:val="en-US"/>
          <w14:textFill>
            <w14:solidFill>
              <w14:schemeClr w14:val="tx1"/>
            </w14:solidFill>
          </w14:textFill>
        </w:rPr>
      </w:pPr>
      <w:r>
        <w:rPr>
          <w:rFonts w:hint="eastAsia"/>
          <w:b w:val="0"/>
          <w:bCs w:val="0"/>
          <w:color w:val="000000" w:themeColor="text1"/>
          <w:sz w:val="21"/>
          <w:szCs w:val="21"/>
          <w:lang w:val="en-US"/>
          <w14:textFill>
            <w14:solidFill>
              <w14:schemeClr w14:val="tx1"/>
            </w14:solidFill>
          </w14:textFill>
        </w:rPr>
        <w:t>19.2.5谈判小组根据与供应商谈判情况可能实质性变动谈判文件的内容，包括采购需求中的技术、服务要求以及合同草案条款。谈判文件有实质性变动的， 经采购人代表确认作为谈判文件的有效组成部分，谈判小组将以书面形式通知所有参加谈判的供应商。</w:t>
      </w:r>
    </w:p>
    <w:p>
      <w:pPr>
        <w:pStyle w:val="6"/>
        <w:keepNext w:val="0"/>
        <w:keepLines w:val="0"/>
        <w:tabs>
          <w:tab w:val="left" w:pos="1022"/>
        </w:tabs>
        <w:spacing w:before="2" w:after="0" w:line="360" w:lineRule="auto"/>
        <w:ind w:firstLine="630" w:firstLineChars="300"/>
        <w:rPr>
          <w:b w:val="0"/>
          <w:bCs w:val="0"/>
          <w:color w:val="000000" w:themeColor="text1"/>
          <w:sz w:val="21"/>
          <w:szCs w:val="21"/>
          <w:lang w:val="en-US"/>
          <w14:textFill>
            <w14:solidFill>
              <w14:schemeClr w14:val="tx1"/>
            </w14:solidFill>
          </w14:textFill>
        </w:rPr>
      </w:pPr>
      <w:r>
        <w:rPr>
          <w:rFonts w:hint="eastAsia"/>
          <w:b w:val="0"/>
          <w:bCs w:val="0"/>
          <w:color w:val="000000" w:themeColor="text1"/>
          <w:sz w:val="21"/>
          <w:szCs w:val="21"/>
          <w:lang w:val="en-US"/>
          <w14:textFill>
            <w14:solidFill>
              <w14:schemeClr w14:val="tx1"/>
            </w14:solidFill>
          </w14:textFill>
        </w:rPr>
        <w:t>19.2.6谈判过程中，谈判小组发现供应商的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人递补，以此类推。</w:t>
      </w:r>
    </w:p>
    <w:p>
      <w:pPr>
        <w:pStyle w:val="6"/>
        <w:keepNext w:val="0"/>
        <w:keepLines w:val="0"/>
        <w:tabs>
          <w:tab w:val="left" w:pos="1022"/>
        </w:tabs>
        <w:spacing w:before="2" w:after="0" w:line="360" w:lineRule="auto"/>
        <w:ind w:firstLine="630" w:firstLineChars="300"/>
        <w:rPr>
          <w:b w:val="0"/>
          <w:bCs w:val="0"/>
          <w:color w:val="000000" w:themeColor="text1"/>
          <w:sz w:val="21"/>
          <w:szCs w:val="21"/>
          <w:lang w:val="en-US"/>
          <w14:textFill>
            <w14:solidFill>
              <w14:schemeClr w14:val="tx1"/>
            </w14:solidFill>
          </w14:textFill>
        </w:rPr>
      </w:pPr>
      <w:r>
        <w:rPr>
          <w:rFonts w:hint="eastAsia"/>
          <w:b w:val="0"/>
          <w:bCs w:val="0"/>
          <w:color w:val="000000" w:themeColor="text1"/>
          <w:sz w:val="21"/>
          <w:szCs w:val="21"/>
          <w:lang w:val="en-US"/>
          <w14:textFill>
            <w14:solidFill>
              <w14:schemeClr w14:val="tx1"/>
            </w14:solidFill>
          </w14:textFill>
        </w:rPr>
        <w:t>19.2.7无论何种原因，即使供应商谈判时携带了证书材料的原件，但响应文件中未提供与之内容完全一致的扫描件的，谈判小组可以视同其未提供。</w:t>
      </w:r>
    </w:p>
    <w:p>
      <w:pPr>
        <w:pStyle w:val="6"/>
        <w:keepNext w:val="0"/>
        <w:keepLines w:val="0"/>
        <w:tabs>
          <w:tab w:val="left" w:pos="1022"/>
        </w:tabs>
        <w:spacing w:before="2" w:after="0" w:line="360" w:lineRule="auto"/>
        <w:ind w:firstLine="630" w:firstLineChars="300"/>
        <w:rPr>
          <w:b w:val="0"/>
          <w:bCs w:val="0"/>
          <w:color w:val="000000" w:themeColor="text1"/>
          <w:sz w:val="21"/>
          <w:szCs w:val="21"/>
          <w:lang w:val="en-US"/>
          <w14:textFill>
            <w14:solidFill>
              <w14:schemeClr w14:val="tx1"/>
            </w14:solidFill>
          </w14:textFill>
        </w:rPr>
      </w:pPr>
      <w:r>
        <w:rPr>
          <w:rFonts w:hint="eastAsia"/>
          <w:b w:val="0"/>
          <w:bCs w:val="0"/>
          <w:color w:val="000000" w:themeColor="text1"/>
          <w:sz w:val="21"/>
          <w:szCs w:val="21"/>
          <w:lang w:val="en-US"/>
          <w14:textFill>
            <w14:solidFill>
              <w14:schemeClr w14:val="tx1"/>
            </w14:solidFill>
          </w14:textFill>
        </w:rPr>
        <w:t>19.2.8谈判小组决定响应文件的响应性及符合性只根据响应文件本身的内容，而不寻求其他外部证据。</w:t>
      </w:r>
    </w:p>
    <w:p>
      <w:pPr>
        <w:pStyle w:val="6"/>
        <w:keepNext w:val="0"/>
        <w:keepLines w:val="0"/>
        <w:tabs>
          <w:tab w:val="left" w:pos="1022"/>
        </w:tabs>
        <w:spacing w:before="2" w:after="0" w:line="360" w:lineRule="auto"/>
        <w:ind w:firstLine="630" w:firstLineChars="300"/>
        <w:rPr>
          <w:b w:val="0"/>
          <w:bCs w:val="0"/>
          <w:color w:val="000000" w:themeColor="text1"/>
          <w:sz w:val="21"/>
          <w:szCs w:val="21"/>
          <w:lang w:val="en-US"/>
          <w14:textFill>
            <w14:solidFill>
              <w14:schemeClr w14:val="tx1"/>
            </w14:solidFill>
          </w14:textFill>
        </w:rPr>
      </w:pPr>
      <w:r>
        <w:rPr>
          <w:rFonts w:hint="eastAsia"/>
          <w:b w:val="0"/>
          <w:bCs w:val="0"/>
          <w:color w:val="000000" w:themeColor="text1"/>
          <w:sz w:val="21"/>
          <w:szCs w:val="21"/>
          <w:lang w:val="en-US"/>
          <w14:textFill>
            <w14:solidFill>
              <w14:schemeClr w14:val="tx1"/>
            </w14:solidFill>
          </w14:textFill>
        </w:rPr>
        <w:t>19.2.9供应商授权代表对谈判过程有疑义，以及认为采购人、采购代理机构相关工作人员有需要回避的情形的，应当场提出询问或者回避申请，并说明理由。</w:t>
      </w:r>
    </w:p>
    <w:p>
      <w:pPr>
        <w:pStyle w:val="6"/>
        <w:keepNext w:val="0"/>
        <w:keepLines w:val="0"/>
        <w:numPr>
          <w:ilvl w:val="0"/>
          <w:numId w:val="13"/>
        </w:numPr>
        <w:tabs>
          <w:tab w:val="left" w:pos="1022"/>
        </w:tabs>
        <w:spacing w:before="2" w:after="0"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终止谈判</w:t>
      </w:r>
    </w:p>
    <w:p>
      <w:pPr>
        <w:pStyle w:val="6"/>
        <w:keepNext w:val="0"/>
        <w:keepLines w:val="0"/>
        <w:tabs>
          <w:tab w:val="left" w:pos="1022"/>
        </w:tabs>
        <w:spacing w:before="2" w:after="0" w:line="360" w:lineRule="auto"/>
        <w:ind w:firstLine="630" w:firstLineChars="300"/>
        <w:rPr>
          <w:b w:val="0"/>
          <w:bCs w:val="0"/>
          <w:color w:val="000000" w:themeColor="text1"/>
          <w:sz w:val="21"/>
          <w:szCs w:val="21"/>
          <w:lang w:val="en-US"/>
          <w14:textFill>
            <w14:solidFill>
              <w14:schemeClr w14:val="tx1"/>
            </w14:solidFill>
          </w14:textFill>
        </w:rPr>
      </w:pPr>
      <w:r>
        <w:rPr>
          <w:rFonts w:hint="eastAsia"/>
          <w:b w:val="0"/>
          <w:bCs w:val="0"/>
          <w:color w:val="000000" w:themeColor="text1"/>
          <w:sz w:val="21"/>
          <w:szCs w:val="21"/>
          <w:lang w:val="en-US"/>
          <w14:textFill>
            <w14:solidFill>
              <w14:schemeClr w14:val="tx1"/>
            </w14:solidFill>
          </w14:textFill>
        </w:rPr>
        <w:t>20.1出现下列情况之一时，采购人和采购代理机构有权宣布终止谈判采购，并将理由通知所有供应商：</w:t>
      </w:r>
    </w:p>
    <w:p>
      <w:pPr>
        <w:pStyle w:val="6"/>
        <w:keepNext w:val="0"/>
        <w:keepLines w:val="0"/>
        <w:tabs>
          <w:tab w:val="left" w:pos="1022"/>
        </w:tabs>
        <w:spacing w:before="2" w:after="0" w:line="360" w:lineRule="auto"/>
        <w:ind w:firstLine="630" w:firstLineChars="300"/>
        <w:rPr>
          <w:b w:val="0"/>
          <w:bCs w:val="0"/>
          <w:color w:val="000000" w:themeColor="text1"/>
          <w:sz w:val="21"/>
          <w:szCs w:val="21"/>
          <w:lang w:val="en-US"/>
          <w14:textFill>
            <w14:solidFill>
              <w14:schemeClr w14:val="tx1"/>
            </w14:solidFill>
          </w14:textFill>
        </w:rPr>
      </w:pPr>
      <w:r>
        <w:rPr>
          <w:rFonts w:hint="eastAsia"/>
          <w:b w:val="0"/>
          <w:bCs w:val="0"/>
          <w:color w:val="000000" w:themeColor="text1"/>
          <w:sz w:val="21"/>
          <w:szCs w:val="21"/>
          <w:lang w:val="en-US"/>
          <w14:textFill>
            <w14:solidFill>
              <w14:schemeClr w14:val="tx1"/>
            </w14:solidFill>
          </w14:textFill>
        </w:rPr>
        <w:t>（1）出现影响采购公正的违法、违规行为的；</w:t>
      </w:r>
    </w:p>
    <w:p>
      <w:pPr>
        <w:pStyle w:val="6"/>
        <w:keepNext w:val="0"/>
        <w:keepLines w:val="0"/>
        <w:tabs>
          <w:tab w:val="left" w:pos="1022"/>
        </w:tabs>
        <w:spacing w:before="2" w:after="0" w:line="360" w:lineRule="auto"/>
        <w:ind w:firstLine="630" w:firstLineChars="300"/>
        <w:rPr>
          <w:b w:val="0"/>
          <w:bCs w:val="0"/>
          <w:color w:val="000000" w:themeColor="text1"/>
          <w:sz w:val="21"/>
          <w:szCs w:val="21"/>
          <w:lang w:val="en-US"/>
          <w14:textFill>
            <w14:solidFill>
              <w14:schemeClr w14:val="tx1"/>
            </w14:solidFill>
          </w14:textFill>
        </w:rPr>
      </w:pPr>
      <w:r>
        <w:rPr>
          <w:rFonts w:hint="eastAsia"/>
          <w:b w:val="0"/>
          <w:bCs w:val="0"/>
          <w:color w:val="000000" w:themeColor="text1"/>
          <w:sz w:val="21"/>
          <w:szCs w:val="21"/>
          <w:lang w:val="en-US"/>
          <w14:textFill>
            <w14:solidFill>
              <w14:schemeClr w14:val="tx1"/>
            </w14:solidFill>
          </w14:textFill>
        </w:rPr>
        <w:t>（2）因重大变故，采购任务取消的；</w:t>
      </w:r>
    </w:p>
    <w:p>
      <w:pPr>
        <w:pStyle w:val="6"/>
        <w:keepNext w:val="0"/>
        <w:keepLines w:val="0"/>
        <w:numPr>
          <w:ilvl w:val="0"/>
          <w:numId w:val="13"/>
        </w:numPr>
        <w:tabs>
          <w:tab w:val="left" w:pos="1022"/>
        </w:tabs>
        <w:spacing w:before="139" w:after="0"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响应文件的澄清、说明或更正</w:t>
      </w:r>
    </w:p>
    <w:p>
      <w:pPr>
        <w:pStyle w:val="68"/>
        <w:numPr>
          <w:ilvl w:val="1"/>
          <w:numId w:val="13"/>
        </w:numPr>
        <w:tabs>
          <w:tab w:val="left" w:pos="1294"/>
        </w:tabs>
        <w:spacing w:before="161" w:line="360" w:lineRule="auto"/>
        <w:ind w:right="357" w:firstLine="47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pStyle w:val="68"/>
        <w:numPr>
          <w:ilvl w:val="1"/>
          <w:numId w:val="13"/>
        </w:numPr>
        <w:tabs>
          <w:tab w:val="left" w:pos="1231"/>
        </w:tabs>
        <w:spacing w:before="3" w:line="360" w:lineRule="auto"/>
        <w:ind w:right="358" w:firstLine="47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谈判小组要求供应商澄清、说明或者更正响应文件应当以书面形式（询标）作出。供应商的澄清、说明或者更正应当由法定代表人或其授权代表签字或者加盖公章。</w:t>
      </w:r>
    </w:p>
    <w:p>
      <w:pPr>
        <w:pStyle w:val="6"/>
        <w:keepNext w:val="0"/>
        <w:keepLines w:val="0"/>
        <w:numPr>
          <w:ilvl w:val="0"/>
          <w:numId w:val="13"/>
        </w:numPr>
        <w:tabs>
          <w:tab w:val="left" w:pos="1022"/>
        </w:tabs>
        <w:spacing w:before="3" w:after="0"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最后报价</w:t>
      </w:r>
    </w:p>
    <w:p>
      <w:pPr>
        <w:pStyle w:val="6"/>
        <w:keepNext w:val="0"/>
        <w:keepLines w:val="0"/>
        <w:tabs>
          <w:tab w:val="left" w:pos="1022"/>
        </w:tabs>
        <w:spacing w:before="2" w:after="0" w:line="360" w:lineRule="auto"/>
        <w:ind w:firstLine="630" w:firstLineChars="300"/>
        <w:rPr>
          <w:b w:val="0"/>
          <w:bCs w:val="0"/>
          <w:color w:val="000000" w:themeColor="text1"/>
          <w:sz w:val="21"/>
          <w:szCs w:val="21"/>
          <w:lang w:val="en-US"/>
          <w14:textFill>
            <w14:solidFill>
              <w14:schemeClr w14:val="tx1"/>
            </w14:solidFill>
          </w14:textFill>
        </w:rPr>
      </w:pPr>
      <w:r>
        <w:rPr>
          <w:rFonts w:hint="eastAsia"/>
          <w:b w:val="0"/>
          <w:bCs w:val="0"/>
          <w:color w:val="000000" w:themeColor="text1"/>
          <w:sz w:val="21"/>
          <w:szCs w:val="21"/>
          <w:lang w:val="en-US"/>
          <w14:textFill>
            <w14:solidFill>
              <w14:schemeClr w14:val="tx1"/>
            </w14:solidFill>
          </w14:textFill>
        </w:rPr>
        <w:t>22.1谈判并不限定只进行二轮报价，如果谈判小组认为有必要，可以要求供应商进行多轮报价。</w:t>
      </w:r>
    </w:p>
    <w:p>
      <w:pPr>
        <w:pStyle w:val="6"/>
        <w:keepNext w:val="0"/>
        <w:keepLines w:val="0"/>
        <w:tabs>
          <w:tab w:val="left" w:pos="1022"/>
        </w:tabs>
        <w:spacing w:before="2" w:after="0" w:line="360" w:lineRule="auto"/>
        <w:ind w:firstLine="630" w:firstLineChars="300"/>
        <w:rPr>
          <w:b w:val="0"/>
          <w:bCs w:val="0"/>
          <w:color w:val="000000" w:themeColor="text1"/>
          <w:sz w:val="21"/>
          <w:szCs w:val="21"/>
          <w:lang w:val="en-US"/>
          <w14:textFill>
            <w14:solidFill>
              <w14:schemeClr w14:val="tx1"/>
            </w14:solidFill>
          </w14:textFill>
        </w:rPr>
      </w:pPr>
      <w:r>
        <w:rPr>
          <w:rFonts w:hint="eastAsia"/>
          <w:b w:val="0"/>
          <w:bCs w:val="0"/>
          <w:color w:val="000000" w:themeColor="text1"/>
          <w:sz w:val="21"/>
          <w:szCs w:val="21"/>
          <w:lang w:val="en-US"/>
          <w14:textFill>
            <w14:solidFill>
              <w14:schemeClr w14:val="tx1"/>
            </w14:solidFill>
          </w14:textFill>
        </w:rPr>
        <w:t>22.2在谈判内容不做实质性变更或重大调整的前提下，供应商下轮报价不得高于上一轮报价。</w:t>
      </w:r>
    </w:p>
    <w:p>
      <w:pPr>
        <w:pStyle w:val="6"/>
        <w:keepNext w:val="0"/>
        <w:keepLines w:val="0"/>
        <w:tabs>
          <w:tab w:val="left" w:pos="1022"/>
        </w:tabs>
        <w:spacing w:before="2" w:after="0" w:line="360" w:lineRule="auto"/>
        <w:ind w:firstLine="630" w:firstLineChars="300"/>
        <w:rPr>
          <w:b w:val="0"/>
          <w:bCs w:val="0"/>
          <w:color w:val="000000" w:themeColor="text1"/>
          <w:sz w:val="21"/>
          <w:szCs w:val="21"/>
          <w:lang w:val="en-US"/>
          <w14:textFill>
            <w14:solidFill>
              <w14:schemeClr w14:val="tx1"/>
            </w14:solidFill>
          </w14:textFill>
        </w:rPr>
      </w:pPr>
      <w:r>
        <w:rPr>
          <w:rFonts w:hint="eastAsia"/>
          <w:b w:val="0"/>
          <w:bCs w:val="0"/>
          <w:color w:val="000000" w:themeColor="text1"/>
          <w:sz w:val="21"/>
          <w:szCs w:val="21"/>
          <w:lang w:val="en-US"/>
          <w14:textFill>
            <w14:solidFill>
              <w14:schemeClr w14:val="tx1"/>
            </w14:solidFill>
          </w14:textFill>
        </w:rPr>
        <w:t>22.3最后报价是供应商响应文件的有效组成部分，最后报价也是签订合同的依据。</w:t>
      </w:r>
    </w:p>
    <w:p>
      <w:pPr>
        <w:pStyle w:val="6"/>
        <w:keepNext w:val="0"/>
        <w:keepLines w:val="0"/>
        <w:tabs>
          <w:tab w:val="left" w:pos="1022"/>
        </w:tabs>
        <w:spacing w:before="2" w:after="0" w:line="360" w:lineRule="auto"/>
        <w:ind w:firstLine="630" w:firstLineChars="300"/>
        <w:rPr>
          <w:b w:val="0"/>
          <w:bCs w:val="0"/>
          <w:color w:val="000000" w:themeColor="text1"/>
          <w:sz w:val="21"/>
          <w:szCs w:val="21"/>
          <w:lang w:val="en-US"/>
          <w14:textFill>
            <w14:solidFill>
              <w14:schemeClr w14:val="tx1"/>
            </w14:solidFill>
          </w14:textFill>
        </w:rPr>
      </w:pPr>
      <w:r>
        <w:rPr>
          <w:rFonts w:hint="eastAsia"/>
          <w:b w:val="0"/>
          <w:bCs w:val="0"/>
          <w:color w:val="000000" w:themeColor="text1"/>
          <w:sz w:val="21"/>
          <w:szCs w:val="21"/>
          <w:lang w:val="en-US"/>
          <w14:textFill>
            <w14:solidFill>
              <w14:schemeClr w14:val="tx1"/>
            </w14:solidFill>
          </w14:textFill>
        </w:rPr>
        <w:t>22.4除国家政策性文件规定以外，供应商所报价格在合同实施期间不因市场变化因素而变动。</w:t>
      </w:r>
    </w:p>
    <w:p>
      <w:pPr>
        <w:pStyle w:val="6"/>
        <w:keepNext w:val="0"/>
        <w:keepLines w:val="0"/>
        <w:tabs>
          <w:tab w:val="left" w:pos="1022"/>
        </w:tabs>
        <w:spacing w:before="2" w:after="0" w:line="360" w:lineRule="auto"/>
        <w:ind w:firstLine="630" w:firstLineChars="300"/>
        <w:rPr>
          <w:b w:val="0"/>
          <w:bCs w:val="0"/>
          <w:color w:val="000000" w:themeColor="text1"/>
          <w:sz w:val="21"/>
          <w:szCs w:val="21"/>
          <w:lang w:val="en-US"/>
          <w14:textFill>
            <w14:solidFill>
              <w14:schemeClr w14:val="tx1"/>
            </w14:solidFill>
          </w14:textFill>
        </w:rPr>
      </w:pPr>
      <w:r>
        <w:rPr>
          <w:rFonts w:hint="eastAsia"/>
          <w:b w:val="0"/>
          <w:bCs w:val="0"/>
          <w:color w:val="000000" w:themeColor="text1"/>
          <w:sz w:val="21"/>
          <w:szCs w:val="21"/>
          <w:lang w:val="en-US"/>
          <w14:textFill>
            <w14:solidFill>
              <w14:schemeClr w14:val="tx1"/>
            </w14:solidFill>
          </w14:textFill>
        </w:rPr>
        <w:t>22.5供应商应当按照企业定额或最新版安徽省建设工程计价依据以及材料市场价格信息等，结合自身实力、施工经验、现场环境以及谈判文件的要求自主报价。</w:t>
      </w:r>
    </w:p>
    <w:p>
      <w:pPr>
        <w:pStyle w:val="6"/>
        <w:keepNext w:val="0"/>
        <w:keepLines w:val="0"/>
        <w:tabs>
          <w:tab w:val="left" w:pos="1022"/>
        </w:tabs>
        <w:spacing w:before="2" w:after="0" w:line="360" w:lineRule="auto"/>
        <w:ind w:firstLine="630" w:firstLineChars="300"/>
        <w:rPr>
          <w:b w:val="0"/>
          <w:bCs w:val="0"/>
          <w:color w:val="000000" w:themeColor="text1"/>
          <w:sz w:val="21"/>
          <w:szCs w:val="21"/>
          <w:lang w:val="en-US"/>
          <w14:textFill>
            <w14:solidFill>
              <w14:schemeClr w14:val="tx1"/>
            </w14:solidFill>
          </w14:textFill>
        </w:rPr>
      </w:pPr>
      <w:r>
        <w:rPr>
          <w:rFonts w:hint="eastAsia"/>
          <w:b w:val="0"/>
          <w:bCs w:val="0"/>
          <w:color w:val="000000" w:themeColor="text1"/>
          <w:sz w:val="21"/>
          <w:szCs w:val="21"/>
          <w:lang w:val="en-US"/>
          <w14:textFill>
            <w14:solidFill>
              <w14:schemeClr w14:val="tx1"/>
            </w14:solidFill>
          </w14:textFill>
        </w:rPr>
        <w:t>22.6报价及合同价款的方式：见供应商须知前附表。</w:t>
      </w:r>
    </w:p>
    <w:p>
      <w:pPr>
        <w:pStyle w:val="68"/>
        <w:tabs>
          <w:tab w:val="left" w:pos="1315"/>
        </w:tabs>
        <w:spacing w:before="161" w:line="360" w:lineRule="auto"/>
        <w:ind w:left="657" w:right="2049" w:firstLine="0"/>
        <w:jc w:val="both"/>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23.成交候选人的推荐原则及标准</w:t>
      </w:r>
    </w:p>
    <w:p>
      <w:pPr>
        <w:pStyle w:val="16"/>
        <w:spacing w:before="1" w:line="360" w:lineRule="auto"/>
        <w:ind w:left="220" w:right="356" w:firstLine="434"/>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23.1 谈判小组依据本项目谈判文件所约定的评审方法和标准，按照最后报价由低到高的顺序依次推荐成交候选人。最后报价相同的，则由谈判小组采取随机抽取方式确定。</w:t>
      </w:r>
    </w:p>
    <w:p>
      <w:pPr>
        <w:pStyle w:val="6"/>
        <w:keepNext w:val="0"/>
        <w:keepLines w:val="0"/>
        <w:numPr>
          <w:ilvl w:val="0"/>
          <w:numId w:val="14"/>
        </w:numPr>
        <w:tabs>
          <w:tab w:val="left" w:pos="1022"/>
        </w:tabs>
        <w:spacing w:before="2" w:after="0"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确定成交候选人和成交供应商</w:t>
      </w:r>
    </w:p>
    <w:p>
      <w:pPr>
        <w:pStyle w:val="68"/>
        <w:tabs>
          <w:tab w:val="left" w:pos="1294"/>
        </w:tabs>
        <w:spacing w:before="160" w:line="360" w:lineRule="auto"/>
        <w:ind w:left="0" w:right="358" w:firstLine="630" w:firstLineChars="300"/>
        <w:jc w:val="both"/>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24.1</w:t>
      </w:r>
      <w:r>
        <w:rPr>
          <w:rFonts w:hint="eastAsia"/>
          <w:color w:val="000000" w:themeColor="text1"/>
          <w:sz w:val="21"/>
          <w:szCs w:val="21"/>
          <w14:textFill>
            <w14:solidFill>
              <w14:schemeClr w14:val="tx1"/>
            </w14:solidFill>
          </w14:textFill>
        </w:rPr>
        <w:t>谈判小组按照最后报价由低到高的顺序和</w:t>
      </w:r>
      <w:r>
        <w:rPr>
          <w:rFonts w:hint="eastAsia"/>
          <w:color w:val="000000" w:themeColor="text1"/>
          <w:sz w:val="21"/>
          <w:szCs w:val="21"/>
          <w:u w:val="single"/>
          <w14:textFill>
            <w14:solidFill>
              <w14:schemeClr w14:val="tx1"/>
            </w14:solidFill>
          </w14:textFill>
        </w:rPr>
        <w:t>供应商须知前附表</w:t>
      </w:r>
      <w:r>
        <w:rPr>
          <w:rFonts w:hint="eastAsia"/>
          <w:color w:val="000000" w:themeColor="text1"/>
          <w:sz w:val="21"/>
          <w:szCs w:val="21"/>
          <w14:textFill>
            <w14:solidFill>
              <w14:schemeClr w14:val="tx1"/>
            </w14:solidFill>
          </w14:textFill>
        </w:rPr>
        <w:t>中规定确定成交候选人，并标明排列顺序。排名第一的成交候选人经采购人或采购人授权的谈判小组确定为成交供应商后，由采购代理机构在指定媒体上予以公告。</w:t>
      </w:r>
    </w:p>
    <w:p>
      <w:pPr>
        <w:pStyle w:val="6"/>
        <w:keepNext w:val="0"/>
        <w:keepLines w:val="0"/>
        <w:numPr>
          <w:ilvl w:val="0"/>
          <w:numId w:val="14"/>
        </w:numPr>
        <w:tabs>
          <w:tab w:val="left" w:pos="1022"/>
        </w:tabs>
        <w:spacing w:before="3" w:after="0"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编写评审报告</w:t>
      </w:r>
    </w:p>
    <w:p>
      <w:pPr>
        <w:pStyle w:val="68"/>
        <w:tabs>
          <w:tab w:val="left" w:pos="1294"/>
        </w:tabs>
        <w:spacing w:before="160" w:line="360" w:lineRule="auto"/>
        <w:ind w:left="0" w:right="358" w:firstLine="630" w:firstLineChars="300"/>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25.1评审报告是根据全体谈判小组成员签字的原始评审记录和评审结果编写的报告，评审报告由谈判小组全体成员签字。对评审结论持有异议的谈判小组成员可以书面方式阐述其不同意见和理由。谈判小组成员拒绝在评标报告上签字且不陈述其不同意见和理由的，视为同意评审结论。</w:t>
      </w:r>
    </w:p>
    <w:p>
      <w:pPr>
        <w:pStyle w:val="6"/>
        <w:keepNext w:val="0"/>
        <w:keepLines w:val="0"/>
        <w:numPr>
          <w:ilvl w:val="0"/>
          <w:numId w:val="14"/>
        </w:numPr>
        <w:tabs>
          <w:tab w:val="left" w:pos="1022"/>
        </w:tabs>
        <w:spacing w:before="3" w:after="0"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保密要求</w:t>
      </w:r>
    </w:p>
    <w:p>
      <w:pPr>
        <w:pStyle w:val="68"/>
        <w:tabs>
          <w:tab w:val="left" w:pos="1294"/>
        </w:tabs>
        <w:spacing w:before="160" w:line="360" w:lineRule="auto"/>
        <w:ind w:left="0" w:right="358" w:firstLine="630" w:firstLineChars="300"/>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26.1评审将在严格保密的情况下进行。</w:t>
      </w:r>
    </w:p>
    <w:p>
      <w:pPr>
        <w:pStyle w:val="68"/>
        <w:tabs>
          <w:tab w:val="left" w:pos="1294"/>
        </w:tabs>
        <w:spacing w:before="160" w:line="360" w:lineRule="auto"/>
        <w:ind w:left="0" w:right="358" w:firstLine="630" w:firstLineChars="300"/>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26.2有关人员应当遵守评审工作纪律，不得泄露评审文件、评审情况和评审中获悉的国家秘密、商业秘密。</w:t>
      </w:r>
    </w:p>
    <w:p>
      <w:pPr>
        <w:pStyle w:val="6"/>
        <w:keepNext w:val="0"/>
        <w:keepLines w:val="0"/>
        <w:numPr>
          <w:ilvl w:val="0"/>
          <w:numId w:val="14"/>
        </w:numPr>
        <w:tabs>
          <w:tab w:val="left" w:pos="1022"/>
        </w:tabs>
        <w:spacing w:before="1" w:after="0"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成交结果公告</w:t>
      </w:r>
    </w:p>
    <w:p>
      <w:pPr>
        <w:pStyle w:val="68"/>
        <w:tabs>
          <w:tab w:val="left" w:pos="1294"/>
        </w:tabs>
        <w:spacing w:before="160" w:line="360" w:lineRule="auto"/>
        <w:ind w:left="0" w:right="358" w:firstLine="630" w:firstLineChars="300"/>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27.1为体现“公开、公平、公正”的原则，谈判结束后，采购代理机构将在</w:t>
      </w:r>
      <w:r>
        <w:rPr>
          <w:rFonts w:hint="eastAsia"/>
          <w:color w:val="000000" w:themeColor="text1"/>
          <w:sz w:val="21"/>
          <w:szCs w:val="21"/>
          <w:lang w:val="en-US" w:eastAsia="zh-CN"/>
          <w14:textFill>
            <w14:solidFill>
              <w14:schemeClr w14:val="tx1"/>
            </w14:solidFill>
          </w14:textFill>
        </w:rPr>
        <w:t>阜阳投资发展集团有限公司(http://fytfjt.com/)</w:t>
      </w:r>
      <w:r>
        <w:rPr>
          <w:rFonts w:hint="eastAsia"/>
          <w:color w:val="000000" w:themeColor="text1"/>
          <w:sz w:val="21"/>
          <w:szCs w:val="21"/>
          <w:lang w:val="en-US"/>
          <w14:textFill>
            <w14:solidFill>
              <w14:schemeClr w14:val="tx1"/>
            </w14:solidFill>
          </w14:textFill>
        </w:rPr>
        <w:t>网站上发布成交结果公告。</w:t>
      </w:r>
    </w:p>
    <w:p>
      <w:pPr>
        <w:pStyle w:val="68"/>
        <w:tabs>
          <w:tab w:val="left" w:pos="1294"/>
        </w:tabs>
        <w:spacing w:before="160" w:line="360" w:lineRule="auto"/>
        <w:ind w:left="0" w:right="358" w:firstLine="630" w:firstLineChars="300"/>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27.2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供应商须知前附表中约定进行公告的内容。</w:t>
      </w:r>
    </w:p>
    <w:p>
      <w:pPr>
        <w:spacing w:line="360" w:lineRule="auto"/>
        <w:ind w:left="657"/>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注：</w:t>
      </w:r>
    </w:p>
    <w:p>
      <w:pPr>
        <w:pStyle w:val="68"/>
        <w:tabs>
          <w:tab w:val="left" w:pos="1198"/>
        </w:tabs>
        <w:spacing w:before="161" w:line="360" w:lineRule="auto"/>
        <w:ind w:right="357"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1、采购人定标前</w:t>
      </w:r>
      <w:r>
        <w:rPr>
          <w:rFonts w:hint="eastAsia"/>
          <w:color w:val="000000" w:themeColor="text1"/>
          <w:sz w:val="21"/>
          <w:szCs w:val="21"/>
          <w:lang w:val="en-US"/>
          <w14:textFill>
            <w14:solidFill>
              <w14:schemeClr w14:val="tx1"/>
            </w14:solidFill>
          </w14:textFill>
        </w:rPr>
        <w:t>有权</w:t>
      </w:r>
      <w:r>
        <w:rPr>
          <w:rFonts w:hint="eastAsia"/>
          <w:color w:val="000000" w:themeColor="text1"/>
          <w:sz w:val="21"/>
          <w:szCs w:val="21"/>
          <w14:textFill>
            <w14:solidFill>
              <w14:schemeClr w14:val="tx1"/>
            </w14:solidFill>
          </w14:textFill>
        </w:rPr>
        <w:t>对成交候选人进行信用查询，如成交候选人存在不良信用记录，采购人应取消成交候选人资格，并按规定予以处理。</w:t>
      </w:r>
    </w:p>
    <w:p>
      <w:pPr>
        <w:pStyle w:val="68"/>
        <w:tabs>
          <w:tab w:val="left" w:pos="1198"/>
        </w:tabs>
        <w:spacing w:before="161" w:line="360" w:lineRule="auto"/>
        <w:ind w:right="357"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采购监管部门列入采购严重违法失信行为记录名单，以及存在《中华人民共和国</w:t>
      </w:r>
      <w:r>
        <w:rPr>
          <w:rFonts w:hint="eastAsia"/>
          <w:color w:val="000000" w:themeColor="text1"/>
          <w:sz w:val="21"/>
          <w:szCs w:val="21"/>
          <w:lang w:val="en-US"/>
          <w14:textFill>
            <w14:solidFill>
              <w14:schemeClr w14:val="tx1"/>
            </w14:solidFill>
          </w14:textFill>
        </w:rPr>
        <w:t>政府</w:t>
      </w:r>
      <w:r>
        <w:rPr>
          <w:rFonts w:hint="eastAsia"/>
          <w:color w:val="000000" w:themeColor="text1"/>
          <w:sz w:val="21"/>
          <w:szCs w:val="21"/>
          <w14:textFill>
            <w14:solidFill>
              <w14:schemeClr w14:val="tx1"/>
            </w14:solidFill>
          </w14:textFill>
        </w:rPr>
        <w:t>采购法实施条例》第十九条规定的行政处罚记录。</w:t>
      </w:r>
    </w:p>
    <w:p>
      <w:pPr>
        <w:pStyle w:val="68"/>
        <w:tabs>
          <w:tab w:val="left" w:pos="1198"/>
        </w:tabs>
        <w:spacing w:before="161" w:line="360" w:lineRule="auto"/>
        <w:ind w:right="357"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3、以联合体形式参加谈判的，联合体任何成员存在以上不良信用记录的，不得确定为成交供应商。</w:t>
      </w:r>
    </w:p>
    <w:p>
      <w:pPr>
        <w:pStyle w:val="68"/>
        <w:tabs>
          <w:tab w:val="left" w:pos="1198"/>
        </w:tabs>
        <w:spacing w:before="161" w:line="360" w:lineRule="auto"/>
        <w:ind w:right="357"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4、信用信息查询渠道：中国采购网（www.ccgp.gov.cn）、“信用中国”网站（www.creditchina.gov.cn）。 </w:t>
      </w:r>
    </w:p>
    <w:p>
      <w:pPr>
        <w:pStyle w:val="68"/>
        <w:tabs>
          <w:tab w:val="left" w:pos="1198"/>
        </w:tabs>
        <w:spacing w:before="161" w:line="360" w:lineRule="auto"/>
        <w:ind w:right="357"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5、信用信息记录方式：采购人将查询网页打印、签字并存档备查。</w:t>
      </w:r>
    </w:p>
    <w:p>
      <w:pPr>
        <w:pStyle w:val="6"/>
        <w:keepNext w:val="0"/>
        <w:keepLines w:val="0"/>
        <w:numPr>
          <w:ilvl w:val="0"/>
          <w:numId w:val="14"/>
        </w:numPr>
        <w:tabs>
          <w:tab w:val="left" w:pos="1022"/>
        </w:tabs>
        <w:spacing w:before="2" w:after="0"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成交通知书</w:t>
      </w:r>
    </w:p>
    <w:p>
      <w:pPr>
        <w:pStyle w:val="68"/>
        <w:tabs>
          <w:tab w:val="left" w:pos="1294"/>
        </w:tabs>
        <w:spacing w:before="160" w:line="360" w:lineRule="auto"/>
        <w:ind w:left="0" w:right="358" w:firstLine="630" w:firstLineChars="300"/>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28.1采购代理机构发布成交结果公告的同时以供应商须知前附表规定的形式向成交供应商发出成交通知书。</w:t>
      </w:r>
    </w:p>
    <w:p>
      <w:pPr>
        <w:pStyle w:val="68"/>
        <w:tabs>
          <w:tab w:val="left" w:pos="1294"/>
        </w:tabs>
        <w:spacing w:before="160" w:line="360" w:lineRule="auto"/>
        <w:ind w:left="0" w:right="358" w:firstLine="630" w:firstLineChars="300"/>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28.2成交通知书对采购人和成交供应商具有同等法律效力。成交通知书发出以后，采购人改变成交结果或者成交供应商放弃成交资格，应当承担相应的法律责任。</w:t>
      </w:r>
    </w:p>
    <w:p>
      <w:pPr>
        <w:pStyle w:val="68"/>
        <w:tabs>
          <w:tab w:val="left" w:pos="1294"/>
        </w:tabs>
        <w:spacing w:before="160" w:line="360" w:lineRule="auto"/>
        <w:ind w:left="0" w:right="358" w:firstLine="630" w:firstLineChars="300"/>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28.3成交通知书是合同的组成部分。</w:t>
      </w:r>
    </w:p>
    <w:p>
      <w:pPr>
        <w:pStyle w:val="68"/>
        <w:tabs>
          <w:tab w:val="left" w:pos="1195"/>
        </w:tabs>
        <w:spacing w:before="2" w:line="360" w:lineRule="auto"/>
        <w:ind w:left="657" w:right="4329" w:firstLine="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29.告知谈判结果</w:t>
      </w:r>
    </w:p>
    <w:p>
      <w:pPr>
        <w:spacing w:before="1" w:line="360" w:lineRule="auto"/>
        <w:ind w:left="657" w:right="1622" w:hanging="3"/>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29.1 采购代理机构对未成交的供应商不做未成交原因的解释。</w:t>
      </w:r>
    </w:p>
    <w:p>
      <w:pPr>
        <w:spacing w:before="1" w:line="360" w:lineRule="auto"/>
        <w:ind w:left="657" w:right="1622" w:hanging="3"/>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30.履约保证金</w:t>
      </w:r>
    </w:p>
    <w:p>
      <w:pPr>
        <w:pStyle w:val="68"/>
        <w:tabs>
          <w:tab w:val="left" w:pos="1294"/>
        </w:tabs>
        <w:spacing w:before="160" w:line="360" w:lineRule="auto"/>
        <w:ind w:left="0" w:right="358" w:firstLine="630" w:firstLineChars="300"/>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30.1成交供应商应按照供应商须知前附表规定缴纳履约保证金。</w:t>
      </w:r>
    </w:p>
    <w:p>
      <w:pPr>
        <w:pStyle w:val="68"/>
        <w:tabs>
          <w:tab w:val="left" w:pos="1294"/>
        </w:tabs>
        <w:spacing w:before="160" w:line="360" w:lineRule="auto"/>
        <w:ind w:left="0" w:right="358" w:firstLine="630" w:firstLineChars="300"/>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30.2如果成交供应商没有按照上述履约保证金的规定执行，将视为放弃成交资格。在此情况下，采购人可确定下一成交候选人为成交供应商，也可以重新开展采购活动。</w:t>
      </w:r>
    </w:p>
    <w:p>
      <w:pPr>
        <w:pStyle w:val="6"/>
        <w:keepNext w:val="0"/>
        <w:keepLines w:val="0"/>
        <w:numPr>
          <w:ilvl w:val="0"/>
          <w:numId w:val="15"/>
        </w:numPr>
        <w:tabs>
          <w:tab w:val="left" w:pos="1022"/>
        </w:tabs>
        <w:spacing w:before="1" w:after="0"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成交服务费</w:t>
      </w:r>
    </w:p>
    <w:p>
      <w:pPr>
        <w:pStyle w:val="68"/>
        <w:tabs>
          <w:tab w:val="left" w:pos="1195"/>
        </w:tabs>
        <w:spacing w:before="161" w:line="360" w:lineRule="auto"/>
        <w:ind w:left="654" w:right="1448" w:firstLine="0"/>
        <w:rPr>
          <w:b/>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31.1</w:t>
      </w:r>
      <w:r>
        <w:rPr>
          <w:rFonts w:hint="eastAsia"/>
          <w:color w:val="000000" w:themeColor="text1"/>
          <w:sz w:val="21"/>
          <w:szCs w:val="21"/>
          <w14:textFill>
            <w14:solidFill>
              <w14:schemeClr w14:val="tx1"/>
            </w14:solidFill>
          </w14:textFill>
        </w:rPr>
        <w:t>本项目成交服务费的收取按</w:t>
      </w:r>
      <w:r>
        <w:rPr>
          <w:rFonts w:hint="eastAsia"/>
          <w:color w:val="000000" w:themeColor="text1"/>
          <w:sz w:val="21"/>
          <w:szCs w:val="21"/>
          <w:u w:val="single"/>
          <w14:textFill>
            <w14:solidFill>
              <w14:schemeClr w14:val="tx1"/>
            </w14:solidFill>
          </w14:textFill>
        </w:rPr>
        <w:t>供应商须知前附表</w:t>
      </w:r>
      <w:r>
        <w:rPr>
          <w:rFonts w:hint="eastAsia"/>
          <w:color w:val="000000" w:themeColor="text1"/>
          <w:sz w:val="21"/>
          <w:szCs w:val="21"/>
          <w14:textFill>
            <w14:solidFill>
              <w14:schemeClr w14:val="tx1"/>
            </w14:solidFill>
          </w14:textFill>
        </w:rPr>
        <w:t>的规定执行。</w:t>
      </w:r>
    </w:p>
    <w:p>
      <w:pPr>
        <w:pStyle w:val="68"/>
        <w:tabs>
          <w:tab w:val="left" w:pos="1195"/>
        </w:tabs>
        <w:spacing w:before="161" w:line="360" w:lineRule="auto"/>
        <w:ind w:left="657" w:right="1448" w:firstLine="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32.签订合同</w:t>
      </w:r>
    </w:p>
    <w:p>
      <w:pPr>
        <w:pStyle w:val="68"/>
        <w:tabs>
          <w:tab w:val="left" w:pos="1294"/>
        </w:tabs>
        <w:spacing w:before="160" w:line="360" w:lineRule="auto"/>
        <w:ind w:left="0" w:right="358" w:firstLine="630" w:firstLineChars="300"/>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32.1采购人与成交供应商应当自发出成交通知书之日起 30 日内签订合同。</w:t>
      </w:r>
    </w:p>
    <w:p>
      <w:pPr>
        <w:pStyle w:val="68"/>
        <w:tabs>
          <w:tab w:val="left" w:pos="1294"/>
        </w:tabs>
        <w:spacing w:before="160" w:line="360" w:lineRule="auto"/>
        <w:ind w:left="0" w:right="358" w:firstLine="630" w:firstLineChars="300"/>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32.2谈判文件、成交供应商的响应文件及其澄清文件等，均为签订合同的依据。</w:t>
      </w:r>
    </w:p>
    <w:p>
      <w:pPr>
        <w:pStyle w:val="68"/>
        <w:tabs>
          <w:tab w:val="left" w:pos="1294"/>
        </w:tabs>
        <w:spacing w:before="160" w:line="360" w:lineRule="auto"/>
        <w:ind w:left="0" w:right="358" w:firstLine="630" w:firstLineChars="300"/>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32.3成交供应商拒绝与采购人签订合同的，采购人可以按照评审报告推荐的成交候选人名单排序，确定下一成交候选人为成交供应商，也可以重新开展采购活动。成交供应商拒绝签订采购合同的不得参加对该项目重新开展的采购活动。</w:t>
      </w:r>
    </w:p>
    <w:p>
      <w:pPr>
        <w:pStyle w:val="6"/>
        <w:keepNext w:val="0"/>
        <w:keepLines w:val="0"/>
        <w:numPr>
          <w:ilvl w:val="0"/>
          <w:numId w:val="16"/>
        </w:numPr>
        <w:tabs>
          <w:tab w:val="left" w:pos="1022"/>
        </w:tabs>
        <w:spacing w:before="139" w:after="0"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廉洁自律规定</w:t>
      </w:r>
    </w:p>
    <w:p>
      <w:pPr>
        <w:pStyle w:val="68"/>
        <w:tabs>
          <w:tab w:val="left" w:pos="1294"/>
        </w:tabs>
        <w:spacing w:before="160" w:line="360" w:lineRule="auto"/>
        <w:ind w:left="0" w:right="358" w:firstLine="630" w:firstLineChars="300"/>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33.1采购代理机构工作人员不得以不正当手段获取采购代理业务，不得与采购人、供应商恶意串通。</w:t>
      </w:r>
    </w:p>
    <w:p>
      <w:pPr>
        <w:pStyle w:val="68"/>
        <w:tabs>
          <w:tab w:val="left" w:pos="1294"/>
        </w:tabs>
        <w:spacing w:before="160" w:line="360" w:lineRule="auto"/>
        <w:ind w:left="0" w:right="358" w:firstLine="630" w:firstLineChars="300"/>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33.2采购代理机构工作人员不得接受采购人或者供应商组织的宴请、旅游、娱乐，不得收受礼品、现金、有价证券等，不得向采购人或者供应商报销应当由个人承担的费用。</w:t>
      </w:r>
    </w:p>
    <w:p>
      <w:pPr>
        <w:pStyle w:val="6"/>
        <w:keepNext w:val="0"/>
        <w:keepLines w:val="0"/>
        <w:numPr>
          <w:ilvl w:val="0"/>
          <w:numId w:val="16"/>
        </w:numPr>
        <w:tabs>
          <w:tab w:val="left" w:pos="1022"/>
        </w:tabs>
        <w:spacing w:before="2" w:after="0"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质疑的提出与接收</w:t>
      </w:r>
    </w:p>
    <w:p>
      <w:pPr>
        <w:pStyle w:val="68"/>
        <w:tabs>
          <w:tab w:val="left" w:pos="1294"/>
        </w:tabs>
        <w:spacing w:before="160" w:line="360" w:lineRule="auto"/>
        <w:ind w:left="0" w:right="358" w:firstLine="630" w:firstLineChars="300"/>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34.1供应商认为谈判文件、采购过程、成交结果使自己的权益受到损害的， 可以参照有关规定，向采购人或其委托的采购代理机构提出质疑。</w:t>
      </w:r>
    </w:p>
    <w:p>
      <w:pPr>
        <w:pStyle w:val="68"/>
        <w:tabs>
          <w:tab w:val="left" w:pos="1294"/>
        </w:tabs>
        <w:spacing w:before="160" w:line="360" w:lineRule="auto"/>
        <w:ind w:left="0" w:right="358" w:firstLine="630" w:firstLineChars="300"/>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34.2质疑供应商应参照财政部制定的《采购质疑函范本》格式和《采购质疑和投诉办法》的要求，在法定质疑期内通过书面提出，超出法定质疑期提交的质疑将被拒绝。针对同一采购程序环节的质疑应一次性提出。</w:t>
      </w:r>
    </w:p>
    <w:p>
      <w:pPr>
        <w:pStyle w:val="68"/>
        <w:tabs>
          <w:tab w:val="left" w:pos="1294"/>
        </w:tabs>
        <w:spacing w:before="160" w:line="360" w:lineRule="auto"/>
        <w:ind w:left="0" w:right="358" w:firstLine="630" w:firstLineChars="300"/>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34.3超出法定质疑期的、重复提出的、分次提出的或内容、形式不符合《采购质疑和投诉办法》的，质疑供应商将依法承担不利后果。</w:t>
      </w:r>
    </w:p>
    <w:p>
      <w:pPr>
        <w:pStyle w:val="68"/>
        <w:tabs>
          <w:tab w:val="left" w:pos="1294"/>
        </w:tabs>
        <w:spacing w:before="160" w:line="360" w:lineRule="auto"/>
        <w:ind w:left="0" w:right="358" w:firstLine="630" w:firstLineChars="300"/>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34.4采购代理机构质疑函接收部门、联系电话和通讯地址，见供应商须知前附表。</w:t>
      </w:r>
    </w:p>
    <w:p>
      <w:pPr>
        <w:pStyle w:val="6"/>
        <w:keepNext w:val="0"/>
        <w:keepLines w:val="0"/>
        <w:numPr>
          <w:ilvl w:val="0"/>
          <w:numId w:val="16"/>
        </w:numPr>
        <w:tabs>
          <w:tab w:val="left" w:pos="1022"/>
        </w:tabs>
        <w:spacing w:before="1" w:after="0"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需要补充的其他内容</w:t>
      </w:r>
    </w:p>
    <w:p>
      <w:pPr>
        <w:pStyle w:val="16"/>
        <w:spacing w:before="161" w:line="360" w:lineRule="auto"/>
        <w:ind w:left="65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需要补充的其他内容，见</w:t>
      </w:r>
      <w:r>
        <w:rPr>
          <w:rFonts w:hint="eastAsia"/>
          <w:color w:val="000000" w:themeColor="text1"/>
          <w:sz w:val="21"/>
          <w:szCs w:val="21"/>
          <w:u w:val="single"/>
          <w14:textFill>
            <w14:solidFill>
              <w14:schemeClr w14:val="tx1"/>
            </w14:solidFill>
          </w14:textFill>
        </w:rPr>
        <w:t>供应商须知前附表</w:t>
      </w:r>
      <w:r>
        <w:rPr>
          <w:rFonts w:hint="eastAsia"/>
          <w:color w:val="000000" w:themeColor="text1"/>
          <w:sz w:val="21"/>
          <w:szCs w:val="21"/>
          <w14:textFill>
            <w14:solidFill>
              <w14:schemeClr w14:val="tx1"/>
            </w14:solidFill>
          </w14:textFill>
        </w:rPr>
        <w:t>。</w:t>
      </w:r>
    </w:p>
    <w:p>
      <w:pPr>
        <w:widowControl/>
        <w:autoSpaceDE/>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br w:type="page"/>
      </w:r>
    </w:p>
    <w:p>
      <w:pPr>
        <w:pStyle w:val="3"/>
        <w:tabs>
          <w:tab w:val="left" w:pos="1125"/>
        </w:tabs>
        <w:ind w:right="136"/>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第三章</w:t>
      </w:r>
      <w:r>
        <w:rPr>
          <w:rFonts w:hint="eastAsia"/>
          <w:color w:val="000000" w:themeColor="text1"/>
          <w:sz w:val="32"/>
          <w:szCs w:val="32"/>
          <w14:textFill>
            <w14:solidFill>
              <w14:schemeClr w14:val="tx1"/>
            </w14:solidFill>
          </w14:textFill>
        </w:rPr>
        <w:tab/>
      </w:r>
      <w:r>
        <w:rPr>
          <w:rFonts w:hint="eastAsia"/>
          <w:color w:val="000000" w:themeColor="text1"/>
          <w:sz w:val="32"/>
          <w:szCs w:val="32"/>
          <w14:textFill>
            <w14:solidFill>
              <w14:schemeClr w14:val="tx1"/>
            </w14:solidFill>
          </w14:textFill>
        </w:rPr>
        <w:t>采购需求</w:t>
      </w:r>
    </w:p>
    <w:p>
      <w:pPr>
        <w:rPr>
          <w:b/>
          <w:color w:val="000000" w:themeColor="text1"/>
          <w:sz w:val="32"/>
          <w:szCs w:val="32"/>
          <w14:textFill>
            <w14:solidFill>
              <w14:schemeClr w14:val="tx1"/>
            </w14:solidFill>
          </w14:textFill>
        </w:rPr>
      </w:pPr>
    </w:p>
    <w:p>
      <w:pPr>
        <w:rPr>
          <w:b/>
          <w:color w:val="000000" w:themeColor="text1"/>
          <w:sz w:val="32"/>
          <w:szCs w:val="32"/>
          <w14:textFill>
            <w14:solidFill>
              <w14:schemeClr w14:val="tx1"/>
            </w14:solidFill>
          </w14:textFill>
        </w:rPr>
      </w:pPr>
    </w:p>
    <w:p>
      <w:pPr>
        <w:jc w:val="center"/>
        <w:rPr>
          <w:color w:val="000000" w:themeColor="text1"/>
          <w:sz w:val="21"/>
          <w:szCs w:val="21"/>
          <w14:textFill>
            <w14:solidFill>
              <w14:schemeClr w14:val="tx1"/>
            </w14:solidFill>
          </w14:textFill>
        </w:rPr>
      </w:pPr>
      <w:r>
        <w:rPr>
          <w:rFonts w:hint="eastAsia"/>
          <w:b/>
          <w:color w:val="000000" w:themeColor="text1"/>
          <w:sz w:val="28"/>
          <w:szCs w:val="28"/>
          <w14:textFill>
            <w14:solidFill>
              <w14:schemeClr w14:val="tx1"/>
            </w14:solidFill>
          </w14:textFill>
        </w:rPr>
        <w:t>工程量清单及图纸等详见附件</w:t>
      </w:r>
    </w:p>
    <w:p>
      <w:pPr>
        <w:pStyle w:val="16"/>
        <w:spacing w:before="4"/>
        <w:jc w:val="center"/>
        <w:rPr>
          <w:b/>
          <w:color w:val="000000" w:themeColor="text1"/>
          <w:sz w:val="8"/>
          <w:szCs w:val="22"/>
          <w14:textFill>
            <w14:solidFill>
              <w14:schemeClr w14:val="tx1"/>
            </w14:solidFill>
          </w14:textFill>
        </w:rPr>
      </w:pPr>
    </w:p>
    <w:p>
      <w:pPr>
        <w:widowControl/>
        <w:autoSpaceDE/>
        <w:autoSpaceDN/>
        <w:rPr>
          <w:color w:val="000000" w:themeColor="text1"/>
          <w:sz w:val="24"/>
          <w14:textFill>
            <w14:solidFill>
              <w14:schemeClr w14:val="tx1"/>
            </w14:solidFill>
          </w14:textFill>
        </w:rPr>
        <w:sectPr>
          <w:pgSz w:w="11910" w:h="16840"/>
          <w:pgMar w:top="1380" w:right="1440" w:bottom="1580" w:left="1580" w:header="890" w:footer="1363" w:gutter="0"/>
          <w:cols w:space="720" w:num="1"/>
        </w:sectPr>
      </w:pPr>
    </w:p>
    <w:p>
      <w:pPr>
        <w:pStyle w:val="16"/>
        <w:spacing w:before="2"/>
        <w:rPr>
          <w:color w:val="000000" w:themeColor="text1"/>
          <w:sz w:val="5"/>
          <w14:textFill>
            <w14:solidFill>
              <w14:schemeClr w14:val="tx1"/>
            </w14:solidFill>
          </w14:textFill>
        </w:rPr>
      </w:pPr>
    </w:p>
    <w:p>
      <w:pPr>
        <w:pStyle w:val="16"/>
        <w:spacing w:before="5"/>
        <w:rPr>
          <w:color w:val="000000" w:themeColor="text1"/>
          <w:sz w:val="11"/>
          <w14:textFill>
            <w14:solidFill>
              <w14:schemeClr w14:val="tx1"/>
            </w14:solidFill>
          </w14:textFill>
        </w:rPr>
      </w:pPr>
    </w:p>
    <w:p>
      <w:pPr>
        <w:pStyle w:val="3"/>
        <w:tabs>
          <w:tab w:val="left" w:pos="1125"/>
        </w:tabs>
        <w:spacing w:before="61"/>
        <w:ind w:right="138"/>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第四章</w:t>
      </w:r>
      <w:r>
        <w:rPr>
          <w:rFonts w:hint="eastAsia"/>
          <w:color w:val="000000" w:themeColor="text1"/>
          <w:sz w:val="32"/>
          <w:szCs w:val="32"/>
          <w14:textFill>
            <w14:solidFill>
              <w14:schemeClr w14:val="tx1"/>
            </w14:solidFill>
          </w14:textFill>
        </w:rPr>
        <w:tab/>
      </w:r>
      <w:r>
        <w:rPr>
          <w:rFonts w:hint="eastAsia"/>
          <w:color w:val="000000" w:themeColor="text1"/>
          <w:sz w:val="32"/>
          <w:szCs w:val="32"/>
          <w14:textFill>
            <w14:solidFill>
              <w14:schemeClr w14:val="tx1"/>
            </w14:solidFill>
          </w14:textFill>
        </w:rPr>
        <w:t>评审方法和标准</w:t>
      </w:r>
    </w:p>
    <w:p>
      <w:pPr>
        <w:pStyle w:val="6"/>
        <w:spacing w:before="212"/>
        <w:ind w:left="657"/>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一、总则</w:t>
      </w:r>
    </w:p>
    <w:p>
      <w:pPr>
        <w:pStyle w:val="16"/>
        <w:spacing w:before="160" w:line="362" w:lineRule="auto"/>
        <w:ind w:left="580" w:right="428" w:firstLine="7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本项目将按照谈判文件第二章 供应商须知的相关要求及本章的规定评标。</w:t>
      </w:r>
    </w:p>
    <w:p>
      <w:pPr>
        <w:pStyle w:val="16"/>
        <w:spacing w:before="160" w:line="362" w:lineRule="auto"/>
        <w:ind w:left="580" w:right="428" w:firstLine="74"/>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二、评审方法</w:t>
      </w:r>
    </w:p>
    <w:tbl>
      <w:tblPr>
        <w:tblStyle w:val="35"/>
        <w:tblpPr w:leftFromText="180" w:rightFromText="180" w:vertAnchor="text" w:horzAnchor="page" w:tblpXSpec="center" w:tblpY="409"/>
        <w:tblOverlap w:val="never"/>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912"/>
        <w:gridCol w:w="2136"/>
        <w:gridCol w:w="58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jc w:val="center"/>
        </w:trPr>
        <w:tc>
          <w:tcPr>
            <w:tcW w:w="5000" w:type="pct"/>
            <w:gridSpan w:val="3"/>
            <w:tcBorders>
              <w:top w:val="single" w:color="000000" w:sz="6" w:space="0"/>
              <w:left w:val="single" w:color="000000" w:sz="6" w:space="0"/>
              <w:bottom w:val="single" w:color="000000" w:sz="6" w:space="0"/>
              <w:right w:val="single" w:color="000000" w:sz="6" w:space="0"/>
            </w:tcBorders>
            <w:vAlign w:val="center"/>
          </w:tcPr>
          <w:p>
            <w:pPr>
              <w:pStyle w:val="69"/>
              <w:spacing w:before="158"/>
              <w:ind w:left="3735" w:right="3285"/>
              <w:jc w:val="center"/>
              <w:rPr>
                <w:b/>
                <w:color w:val="000000" w:themeColor="text1"/>
                <w:sz w:val="21"/>
                <w:szCs w:val="21"/>
                <w:lang w:eastAsia="en-US"/>
                <w14:textFill>
                  <w14:solidFill>
                    <w14:schemeClr w14:val="tx1"/>
                  </w14:solidFill>
                </w14:textFill>
              </w:rPr>
            </w:pPr>
            <w:r>
              <w:rPr>
                <w:rFonts w:hint="eastAsia"/>
                <w:b/>
                <w:color w:val="000000" w:themeColor="text1"/>
                <w:sz w:val="21"/>
                <w:szCs w:val="21"/>
                <w:lang w:val="en-US" w:eastAsia="en-US"/>
                <w14:textFill>
                  <w14:solidFill>
                    <w14:schemeClr w14:val="tx1"/>
                  </w14:solidFill>
                </w14:textFill>
              </w:rPr>
              <w:t>某项目初审表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8" w:hRule="atLeast"/>
          <w:jc w:val="center"/>
        </w:trPr>
        <w:tc>
          <w:tcPr>
            <w:tcW w:w="512" w:type="pct"/>
            <w:tcBorders>
              <w:top w:val="single" w:color="000000" w:sz="6" w:space="0"/>
              <w:left w:val="single" w:color="000000" w:sz="6" w:space="0"/>
              <w:bottom w:val="single" w:color="000000" w:sz="6" w:space="0"/>
              <w:right w:val="single" w:color="000000" w:sz="6" w:space="0"/>
            </w:tcBorders>
            <w:vAlign w:val="center"/>
          </w:tcPr>
          <w:p>
            <w:pPr>
              <w:pStyle w:val="69"/>
              <w:spacing w:before="81"/>
              <w:jc w:val="center"/>
              <w:rPr>
                <w:b/>
                <w:color w:val="000000" w:themeColor="text1"/>
                <w:sz w:val="21"/>
                <w:szCs w:val="21"/>
                <w:lang w:eastAsia="en-US"/>
                <w14:textFill>
                  <w14:solidFill>
                    <w14:schemeClr w14:val="tx1"/>
                  </w14:solidFill>
                </w14:textFill>
              </w:rPr>
            </w:pPr>
            <w:r>
              <w:rPr>
                <w:rFonts w:hint="eastAsia"/>
                <w:b/>
                <w:color w:val="000000" w:themeColor="text1"/>
                <w:w w:val="99"/>
                <w:sz w:val="21"/>
                <w:szCs w:val="21"/>
                <w:lang w:val="en-US" w:eastAsia="en-US"/>
                <w14:textFill>
                  <w14:solidFill>
                    <w14:schemeClr w14:val="tx1"/>
                  </w14:solidFill>
                </w14:textFill>
              </w:rPr>
              <w:t>序号</w:t>
            </w:r>
          </w:p>
        </w:tc>
        <w:tc>
          <w:tcPr>
            <w:tcW w:w="1199" w:type="pct"/>
            <w:tcBorders>
              <w:top w:val="single" w:color="000000" w:sz="6" w:space="0"/>
              <w:left w:val="single" w:color="000000" w:sz="6" w:space="0"/>
              <w:bottom w:val="single" w:color="000000" w:sz="6" w:space="0"/>
              <w:right w:val="single" w:color="000000" w:sz="6" w:space="0"/>
            </w:tcBorders>
            <w:vAlign w:val="center"/>
          </w:tcPr>
          <w:p>
            <w:pPr>
              <w:pStyle w:val="69"/>
              <w:spacing w:before="6"/>
              <w:rPr>
                <w:b/>
                <w:color w:val="000000" w:themeColor="text1"/>
                <w:sz w:val="21"/>
                <w:szCs w:val="21"/>
                <w:lang w:eastAsia="en-US"/>
                <w14:textFill>
                  <w14:solidFill>
                    <w14:schemeClr w14:val="tx1"/>
                  </w14:solidFill>
                </w14:textFill>
              </w:rPr>
            </w:pPr>
          </w:p>
          <w:p>
            <w:pPr>
              <w:pStyle w:val="69"/>
              <w:ind w:left="542"/>
              <w:rPr>
                <w:b/>
                <w:color w:val="000000" w:themeColor="text1"/>
                <w:sz w:val="21"/>
                <w:szCs w:val="21"/>
                <w:lang w:eastAsia="en-US"/>
                <w14:textFill>
                  <w14:solidFill>
                    <w14:schemeClr w14:val="tx1"/>
                  </w14:solidFill>
                </w14:textFill>
              </w:rPr>
            </w:pPr>
            <w:r>
              <w:rPr>
                <w:rFonts w:hint="eastAsia"/>
                <w:b/>
                <w:color w:val="000000" w:themeColor="text1"/>
                <w:sz w:val="21"/>
                <w:szCs w:val="21"/>
                <w:lang w:val="en-US" w:eastAsia="en-US"/>
                <w14:textFill>
                  <w14:solidFill>
                    <w14:schemeClr w14:val="tx1"/>
                  </w14:solidFill>
                </w14:textFill>
              </w:rPr>
              <w:t>项目内容</w:t>
            </w:r>
          </w:p>
        </w:tc>
        <w:tc>
          <w:tcPr>
            <w:tcW w:w="3288" w:type="pct"/>
            <w:tcBorders>
              <w:top w:val="single" w:color="000000" w:sz="6" w:space="0"/>
              <w:left w:val="single" w:color="000000" w:sz="6" w:space="0"/>
              <w:bottom w:val="single" w:color="000000" w:sz="6" w:space="0"/>
              <w:right w:val="single" w:color="000000" w:sz="6" w:space="0"/>
            </w:tcBorders>
            <w:vAlign w:val="center"/>
          </w:tcPr>
          <w:p>
            <w:pPr>
              <w:pStyle w:val="69"/>
              <w:spacing w:before="6"/>
              <w:rPr>
                <w:b/>
                <w:color w:val="000000" w:themeColor="text1"/>
                <w:sz w:val="21"/>
                <w:szCs w:val="21"/>
                <w:lang w:eastAsia="en-US"/>
                <w14:textFill>
                  <w14:solidFill>
                    <w14:schemeClr w14:val="tx1"/>
                  </w14:solidFill>
                </w14:textFill>
              </w:rPr>
            </w:pPr>
          </w:p>
          <w:p>
            <w:pPr>
              <w:pStyle w:val="69"/>
              <w:ind w:left="2299" w:right="2285"/>
              <w:jc w:val="center"/>
              <w:rPr>
                <w:b/>
                <w:color w:val="000000" w:themeColor="text1"/>
                <w:sz w:val="21"/>
                <w:szCs w:val="21"/>
                <w:lang w:eastAsia="en-US"/>
                <w14:textFill>
                  <w14:solidFill>
                    <w14:schemeClr w14:val="tx1"/>
                  </w14:solidFill>
                </w14:textFill>
              </w:rPr>
            </w:pPr>
            <w:r>
              <w:rPr>
                <w:rFonts w:hint="eastAsia"/>
                <w:b/>
                <w:color w:val="000000" w:themeColor="text1"/>
                <w:sz w:val="21"/>
                <w:szCs w:val="21"/>
                <w:lang w:val="en-US" w:eastAsia="en-US"/>
                <w14:textFill>
                  <w14:solidFill>
                    <w14:schemeClr w14:val="tx1"/>
                  </w14:solidFill>
                </w14:textFill>
              </w:rPr>
              <w:t>合格条件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3" w:hRule="atLeast"/>
          <w:jc w:val="center"/>
        </w:trPr>
        <w:tc>
          <w:tcPr>
            <w:tcW w:w="512" w:type="pct"/>
            <w:tcBorders>
              <w:top w:val="single" w:color="000000" w:sz="6" w:space="0"/>
              <w:left w:val="single" w:color="000000" w:sz="6" w:space="0"/>
              <w:bottom w:val="single" w:color="000000" w:sz="6" w:space="0"/>
              <w:right w:val="single" w:color="000000" w:sz="6" w:space="0"/>
            </w:tcBorders>
            <w:vAlign w:val="center"/>
          </w:tcPr>
          <w:p>
            <w:pPr>
              <w:pStyle w:val="69"/>
              <w:rPr>
                <w:b/>
                <w:color w:val="000000" w:themeColor="text1"/>
                <w:sz w:val="21"/>
                <w:szCs w:val="21"/>
                <w:lang w:eastAsia="en-US"/>
                <w14:textFill>
                  <w14:solidFill>
                    <w14:schemeClr w14:val="tx1"/>
                  </w14:solidFill>
                </w14:textFill>
              </w:rPr>
            </w:pPr>
          </w:p>
          <w:p>
            <w:pPr>
              <w:pStyle w:val="69"/>
              <w:ind w:left="14"/>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1</w:t>
            </w:r>
          </w:p>
        </w:tc>
        <w:tc>
          <w:tcPr>
            <w:tcW w:w="1199" w:type="pct"/>
            <w:tcBorders>
              <w:top w:val="single" w:color="000000" w:sz="6" w:space="0"/>
              <w:left w:val="single" w:color="000000" w:sz="6" w:space="0"/>
              <w:bottom w:val="single" w:color="000000" w:sz="6" w:space="0"/>
              <w:right w:val="single" w:color="000000" w:sz="6" w:space="0"/>
            </w:tcBorders>
            <w:vAlign w:val="center"/>
          </w:tcPr>
          <w:p>
            <w:pPr>
              <w:pStyle w:val="69"/>
              <w:rPr>
                <w:b/>
                <w:color w:val="000000" w:themeColor="text1"/>
                <w:sz w:val="21"/>
                <w:szCs w:val="21"/>
                <w:lang w:eastAsia="en-US"/>
                <w14:textFill>
                  <w14:solidFill>
                    <w14:schemeClr w14:val="tx1"/>
                  </w14:solidFill>
                </w14:textFill>
              </w:rPr>
            </w:pPr>
          </w:p>
          <w:p>
            <w:pPr>
              <w:pStyle w:val="69"/>
              <w:ind w:left="108"/>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营业执照</w:t>
            </w:r>
          </w:p>
        </w:tc>
        <w:tc>
          <w:tcPr>
            <w:tcW w:w="3288" w:type="pct"/>
            <w:tcBorders>
              <w:top w:val="single" w:color="000000" w:sz="6" w:space="0"/>
              <w:left w:val="single" w:color="000000" w:sz="6" w:space="0"/>
              <w:bottom w:val="single" w:color="000000" w:sz="6" w:space="0"/>
              <w:right w:val="single" w:color="000000" w:sz="6" w:space="0"/>
            </w:tcBorders>
            <w:vAlign w:val="center"/>
          </w:tcPr>
          <w:p>
            <w:pPr>
              <w:pStyle w:val="69"/>
              <w:spacing w:before="79" w:line="362" w:lineRule="auto"/>
              <w:ind w:left="108" w:right="197"/>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提供有效的营业执照扫描件，应完整的体现出营业执照的全部内容。联合体谈判的联合体各方均须提</w:t>
            </w:r>
          </w:p>
          <w:p>
            <w:pPr>
              <w:pStyle w:val="69"/>
              <w:spacing w:before="1"/>
              <w:ind w:left="108"/>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1" w:hRule="atLeast"/>
          <w:jc w:val="center"/>
        </w:trPr>
        <w:tc>
          <w:tcPr>
            <w:tcW w:w="512" w:type="pct"/>
            <w:tcBorders>
              <w:top w:val="single" w:color="000000" w:sz="6" w:space="0"/>
              <w:left w:val="single" w:color="000000" w:sz="6" w:space="0"/>
              <w:bottom w:val="single" w:color="000000" w:sz="6" w:space="0"/>
              <w:right w:val="single" w:color="000000" w:sz="6" w:space="0"/>
            </w:tcBorders>
            <w:vAlign w:val="center"/>
          </w:tcPr>
          <w:p>
            <w:pPr>
              <w:pStyle w:val="69"/>
              <w:spacing w:before="2"/>
              <w:rPr>
                <w:b/>
                <w:color w:val="000000" w:themeColor="text1"/>
                <w:sz w:val="21"/>
                <w:szCs w:val="21"/>
                <w:lang w:eastAsia="en-US"/>
                <w14:textFill>
                  <w14:solidFill>
                    <w14:schemeClr w14:val="tx1"/>
                  </w14:solidFill>
                </w14:textFill>
              </w:rPr>
            </w:pPr>
          </w:p>
          <w:p>
            <w:pPr>
              <w:pStyle w:val="69"/>
              <w:ind w:left="14"/>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2</w:t>
            </w:r>
          </w:p>
        </w:tc>
        <w:tc>
          <w:tcPr>
            <w:tcW w:w="1199" w:type="pct"/>
            <w:tcBorders>
              <w:top w:val="single" w:color="000000" w:sz="6" w:space="0"/>
              <w:left w:val="single" w:color="000000" w:sz="6" w:space="0"/>
              <w:bottom w:val="single" w:color="000000" w:sz="6" w:space="0"/>
              <w:right w:val="single" w:color="000000" w:sz="6" w:space="0"/>
            </w:tcBorders>
            <w:vAlign w:val="center"/>
          </w:tcPr>
          <w:p>
            <w:pPr>
              <w:pStyle w:val="69"/>
              <w:spacing w:before="2"/>
              <w:rPr>
                <w:b/>
                <w:color w:val="000000" w:themeColor="text1"/>
                <w:sz w:val="21"/>
                <w:szCs w:val="21"/>
                <w:lang w:eastAsia="en-US"/>
                <w14:textFill>
                  <w14:solidFill>
                    <w14:schemeClr w14:val="tx1"/>
                  </w14:solidFill>
                </w14:textFill>
              </w:rPr>
            </w:pPr>
          </w:p>
          <w:p>
            <w:pPr>
              <w:pStyle w:val="69"/>
              <w:ind w:left="108"/>
              <w:rPr>
                <w:color w:val="000000" w:themeColor="text1"/>
                <w:sz w:val="21"/>
                <w:szCs w:val="21"/>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资质证书</w:t>
            </w:r>
            <w:r>
              <w:rPr>
                <w:rFonts w:hint="eastAsia"/>
                <w:color w:val="000000" w:themeColor="text1"/>
                <w:sz w:val="21"/>
                <w:szCs w:val="21"/>
                <w14:textFill>
                  <w14:solidFill>
                    <w14:schemeClr w14:val="tx1"/>
                  </w14:solidFill>
                </w14:textFill>
              </w:rPr>
              <w:t>（如有）</w:t>
            </w:r>
          </w:p>
        </w:tc>
        <w:tc>
          <w:tcPr>
            <w:tcW w:w="3288" w:type="pct"/>
            <w:tcBorders>
              <w:top w:val="single" w:color="000000" w:sz="6" w:space="0"/>
              <w:left w:val="single" w:color="000000" w:sz="6" w:space="0"/>
              <w:bottom w:val="single" w:color="000000" w:sz="6" w:space="0"/>
              <w:right w:val="single" w:color="000000" w:sz="6" w:space="0"/>
            </w:tcBorders>
            <w:vAlign w:val="center"/>
          </w:tcPr>
          <w:p>
            <w:pPr>
              <w:pStyle w:val="69"/>
              <w:spacing w:before="2"/>
              <w:rPr>
                <w:b/>
                <w:color w:val="000000" w:themeColor="text1"/>
                <w:sz w:val="21"/>
                <w:szCs w:val="21"/>
                <w14:textFill>
                  <w14:solidFill>
                    <w14:schemeClr w14:val="tx1"/>
                  </w14:solidFill>
                </w14:textFill>
              </w:rPr>
            </w:pPr>
          </w:p>
          <w:p>
            <w:pPr>
              <w:pStyle w:val="69"/>
              <w:ind w:left="108"/>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提供满足资质要求的资质证书扫描件。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3" w:hRule="atLeast"/>
          <w:jc w:val="center"/>
        </w:trPr>
        <w:tc>
          <w:tcPr>
            <w:tcW w:w="512" w:type="pct"/>
            <w:tcBorders>
              <w:top w:val="single" w:color="000000" w:sz="6" w:space="0"/>
              <w:left w:val="single" w:color="000000" w:sz="6" w:space="0"/>
              <w:bottom w:val="single" w:color="000000" w:sz="6" w:space="0"/>
              <w:right w:val="single" w:color="000000" w:sz="6" w:space="0"/>
            </w:tcBorders>
            <w:vAlign w:val="center"/>
          </w:tcPr>
          <w:p>
            <w:pPr>
              <w:pStyle w:val="69"/>
              <w:rPr>
                <w:b/>
                <w:color w:val="000000" w:themeColor="text1"/>
                <w:sz w:val="21"/>
                <w:szCs w:val="21"/>
                <w14:textFill>
                  <w14:solidFill>
                    <w14:schemeClr w14:val="tx1"/>
                  </w14:solidFill>
                </w14:textFill>
              </w:rPr>
            </w:pPr>
          </w:p>
          <w:p>
            <w:pPr>
              <w:pStyle w:val="69"/>
              <w:spacing w:before="9"/>
              <w:rPr>
                <w:b/>
                <w:color w:val="000000" w:themeColor="text1"/>
                <w:sz w:val="21"/>
                <w:szCs w:val="21"/>
                <w14:textFill>
                  <w14:solidFill>
                    <w14:schemeClr w14:val="tx1"/>
                  </w14:solidFill>
                </w14:textFill>
              </w:rPr>
            </w:pPr>
          </w:p>
          <w:p>
            <w:pPr>
              <w:pStyle w:val="69"/>
              <w:ind w:left="14"/>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3</w:t>
            </w:r>
          </w:p>
        </w:tc>
        <w:tc>
          <w:tcPr>
            <w:tcW w:w="1199" w:type="pct"/>
            <w:tcBorders>
              <w:top w:val="single" w:color="000000" w:sz="6" w:space="0"/>
              <w:left w:val="single" w:color="000000" w:sz="6" w:space="0"/>
              <w:bottom w:val="single" w:color="000000" w:sz="6" w:space="0"/>
              <w:right w:val="single" w:color="000000" w:sz="6" w:space="0"/>
            </w:tcBorders>
            <w:vAlign w:val="center"/>
          </w:tcPr>
          <w:p>
            <w:pPr>
              <w:pStyle w:val="69"/>
              <w:rPr>
                <w:b/>
                <w:color w:val="000000" w:themeColor="text1"/>
                <w:sz w:val="21"/>
                <w:szCs w:val="21"/>
                <w14:textFill>
                  <w14:solidFill>
                    <w14:schemeClr w14:val="tx1"/>
                  </w14:solidFill>
                </w14:textFill>
              </w:rPr>
            </w:pPr>
          </w:p>
          <w:p>
            <w:pPr>
              <w:pStyle w:val="69"/>
              <w:spacing w:before="9"/>
              <w:rPr>
                <w:b/>
                <w:color w:val="000000" w:themeColor="text1"/>
                <w:sz w:val="21"/>
                <w:szCs w:val="21"/>
                <w14:textFill>
                  <w14:solidFill>
                    <w14:schemeClr w14:val="tx1"/>
                  </w14:solidFill>
                </w14:textFill>
              </w:rPr>
            </w:pPr>
          </w:p>
          <w:p>
            <w:pPr>
              <w:pStyle w:val="69"/>
              <w:ind w:left="108"/>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安全生产许可证（如有）</w:t>
            </w:r>
          </w:p>
        </w:tc>
        <w:tc>
          <w:tcPr>
            <w:tcW w:w="3288" w:type="pct"/>
            <w:tcBorders>
              <w:top w:val="single" w:color="000000" w:sz="6" w:space="0"/>
              <w:left w:val="single" w:color="000000" w:sz="6" w:space="0"/>
              <w:bottom w:val="single" w:color="000000" w:sz="6" w:space="0"/>
              <w:right w:val="single" w:color="000000" w:sz="6" w:space="0"/>
            </w:tcBorders>
            <w:vAlign w:val="center"/>
          </w:tcPr>
          <w:p>
            <w:pPr>
              <w:pStyle w:val="69"/>
              <w:spacing w:before="79"/>
              <w:ind w:left="108"/>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提供有效的安全生产许可证扫描件。</w:t>
            </w:r>
          </w:p>
          <w:p>
            <w:pPr>
              <w:pStyle w:val="69"/>
              <w:spacing w:line="470" w:lineRule="atLeast"/>
              <w:ind w:left="108" w:right="78"/>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如企业所在地园林绿化企业不需申领安全生产许可</w:t>
            </w:r>
            <w:r>
              <w:rPr>
                <w:rFonts w:hint="eastAsia"/>
                <w:color w:val="000000" w:themeColor="text1"/>
                <w:spacing w:val="-10"/>
                <w:sz w:val="21"/>
                <w:szCs w:val="21"/>
                <w14:textFill>
                  <w14:solidFill>
                    <w14:schemeClr w14:val="tx1"/>
                  </w14:solidFill>
                </w14:textFill>
              </w:rPr>
              <w:t>证的，须提供相关证明材料。</w:t>
            </w:r>
            <w:r>
              <w:rPr>
                <w:rFonts w:hint="eastAsia"/>
                <w:color w:val="000000" w:themeColor="text1"/>
                <w:sz w:val="21"/>
                <w:szCs w:val="21"/>
                <w14:textFill>
                  <w14:solidFill>
                    <w14:schemeClr w14:val="tx1"/>
                  </w14:solidFill>
                </w14:textFill>
              </w:rPr>
              <w:t>（绿化类项目须增加</w:t>
            </w:r>
            <w:r>
              <w:rPr>
                <w:rFonts w:hint="eastAsia"/>
                <w:color w:val="000000" w:themeColor="text1"/>
                <w:spacing w:val="-17"/>
                <w:sz w:val="21"/>
                <w:szCs w:val="21"/>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512" w:type="pct"/>
            <w:tcBorders>
              <w:top w:val="single" w:color="000000" w:sz="6" w:space="0"/>
              <w:left w:val="single" w:color="000000" w:sz="6" w:space="0"/>
              <w:bottom w:val="single" w:color="000000" w:sz="6" w:space="0"/>
              <w:right w:val="single" w:color="000000" w:sz="6" w:space="0"/>
            </w:tcBorders>
            <w:vAlign w:val="center"/>
          </w:tcPr>
          <w:p>
            <w:pPr>
              <w:pStyle w:val="69"/>
              <w:spacing w:before="194"/>
              <w:ind w:left="14"/>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4</w:t>
            </w:r>
          </w:p>
        </w:tc>
        <w:tc>
          <w:tcPr>
            <w:tcW w:w="1199" w:type="pct"/>
            <w:tcBorders>
              <w:top w:val="single" w:color="000000" w:sz="6" w:space="0"/>
              <w:left w:val="single" w:color="000000" w:sz="6" w:space="0"/>
              <w:bottom w:val="single" w:color="000000" w:sz="6" w:space="0"/>
              <w:right w:val="single" w:color="000000" w:sz="6" w:space="0"/>
            </w:tcBorders>
            <w:vAlign w:val="center"/>
          </w:tcPr>
          <w:p>
            <w:pPr>
              <w:pStyle w:val="69"/>
              <w:spacing w:before="194"/>
              <w:ind w:left="108"/>
              <w:rPr>
                <w:color w:val="000000" w:themeColor="text1"/>
                <w:sz w:val="21"/>
                <w:szCs w:val="21"/>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联合体协议</w:t>
            </w:r>
            <w:r>
              <w:rPr>
                <w:rFonts w:hint="eastAsia"/>
                <w:color w:val="000000" w:themeColor="text1"/>
                <w:sz w:val="21"/>
                <w:szCs w:val="21"/>
                <w14:textFill>
                  <w14:solidFill>
                    <w14:schemeClr w14:val="tx1"/>
                  </w14:solidFill>
                </w14:textFill>
              </w:rPr>
              <w:t>（如有）</w:t>
            </w:r>
          </w:p>
        </w:tc>
        <w:tc>
          <w:tcPr>
            <w:tcW w:w="3288" w:type="pct"/>
            <w:tcBorders>
              <w:top w:val="single" w:color="000000" w:sz="6" w:space="0"/>
              <w:left w:val="single" w:color="000000" w:sz="6" w:space="0"/>
              <w:bottom w:val="single" w:color="000000" w:sz="6" w:space="0"/>
              <w:right w:val="single" w:color="000000" w:sz="6" w:space="0"/>
            </w:tcBorders>
            <w:vAlign w:val="center"/>
          </w:tcPr>
          <w:p>
            <w:pPr>
              <w:pStyle w:val="69"/>
              <w:spacing w:before="194"/>
              <w:ind w:left="108"/>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格式、填写要求符合谈判文件规定。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jc w:val="center"/>
        </w:trPr>
        <w:tc>
          <w:tcPr>
            <w:tcW w:w="512" w:type="pct"/>
            <w:tcBorders>
              <w:top w:val="single" w:color="000000" w:sz="6" w:space="0"/>
              <w:left w:val="single" w:color="000000" w:sz="6" w:space="0"/>
              <w:bottom w:val="single" w:color="000000" w:sz="6" w:space="0"/>
              <w:right w:val="single" w:color="000000" w:sz="6" w:space="0"/>
            </w:tcBorders>
            <w:vAlign w:val="center"/>
          </w:tcPr>
          <w:p>
            <w:pPr>
              <w:pStyle w:val="69"/>
              <w:spacing w:before="167"/>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6</w:t>
            </w:r>
          </w:p>
        </w:tc>
        <w:tc>
          <w:tcPr>
            <w:tcW w:w="1199" w:type="pct"/>
            <w:tcBorders>
              <w:top w:val="single" w:color="000000" w:sz="6" w:space="0"/>
              <w:left w:val="single" w:color="000000" w:sz="6" w:space="0"/>
              <w:bottom w:val="single" w:color="000000" w:sz="6" w:space="0"/>
              <w:right w:val="single" w:color="000000" w:sz="6" w:space="0"/>
            </w:tcBorders>
            <w:vAlign w:val="center"/>
          </w:tcPr>
          <w:p>
            <w:pPr>
              <w:pStyle w:val="69"/>
              <w:spacing w:before="167"/>
              <w:jc w:val="both"/>
              <w:rPr>
                <w:color w:val="000000" w:themeColor="text1"/>
                <w:sz w:val="21"/>
                <w:szCs w:val="21"/>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项目</w:t>
            </w:r>
            <w:r>
              <w:rPr>
                <w:rFonts w:hint="eastAsia"/>
                <w:color w:val="000000" w:themeColor="text1"/>
                <w:sz w:val="21"/>
                <w:szCs w:val="21"/>
                <w14:textFill>
                  <w14:solidFill>
                    <w14:schemeClr w14:val="tx1"/>
                  </w14:solidFill>
                </w14:textFill>
              </w:rPr>
              <w:t>负责人</w:t>
            </w:r>
          </w:p>
        </w:tc>
        <w:tc>
          <w:tcPr>
            <w:tcW w:w="3288" w:type="pct"/>
            <w:tcBorders>
              <w:top w:val="single" w:color="000000" w:sz="6" w:space="0"/>
              <w:left w:val="single" w:color="000000" w:sz="6" w:space="0"/>
              <w:bottom w:val="single" w:color="000000" w:sz="6" w:space="0"/>
              <w:right w:val="single" w:color="000000" w:sz="6" w:space="0"/>
            </w:tcBorders>
            <w:vAlign w:val="center"/>
          </w:tcPr>
          <w:p>
            <w:pPr>
              <w:pStyle w:val="69"/>
              <w:tabs>
                <w:tab w:val="left" w:pos="350"/>
              </w:tabs>
              <w:spacing w:before="2"/>
              <w:jc w:val="both"/>
              <w:rPr>
                <w:color w:val="000000" w:themeColor="text1"/>
                <w:sz w:val="21"/>
                <w:szCs w:val="21"/>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符合谈判文件要求。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jc w:val="center"/>
        </w:trPr>
        <w:tc>
          <w:tcPr>
            <w:tcW w:w="512" w:type="pct"/>
            <w:tcBorders>
              <w:top w:val="single" w:color="000000" w:sz="6" w:space="0"/>
              <w:left w:val="single" w:color="000000" w:sz="6" w:space="0"/>
              <w:bottom w:val="single" w:color="000000" w:sz="4" w:space="0"/>
              <w:right w:val="single" w:color="000000" w:sz="6" w:space="0"/>
            </w:tcBorders>
            <w:vAlign w:val="center"/>
          </w:tcPr>
          <w:p>
            <w:pPr>
              <w:pStyle w:val="69"/>
              <w:spacing w:before="167"/>
              <w:ind w:left="14"/>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7</w:t>
            </w:r>
          </w:p>
        </w:tc>
        <w:tc>
          <w:tcPr>
            <w:tcW w:w="1199" w:type="pct"/>
            <w:tcBorders>
              <w:top w:val="single" w:color="000000" w:sz="6" w:space="0"/>
              <w:left w:val="single" w:color="000000" w:sz="6" w:space="0"/>
              <w:bottom w:val="single" w:color="000000" w:sz="4" w:space="0"/>
              <w:right w:val="single" w:color="000000" w:sz="6" w:space="0"/>
            </w:tcBorders>
            <w:vAlign w:val="center"/>
          </w:tcPr>
          <w:p>
            <w:pPr>
              <w:pStyle w:val="69"/>
              <w:spacing w:before="167"/>
              <w:ind w:left="108"/>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承诺函</w:t>
            </w:r>
          </w:p>
        </w:tc>
        <w:tc>
          <w:tcPr>
            <w:tcW w:w="3288" w:type="pct"/>
            <w:tcBorders>
              <w:top w:val="single" w:color="000000" w:sz="6" w:space="0"/>
              <w:left w:val="single" w:color="000000" w:sz="6" w:space="0"/>
              <w:bottom w:val="single" w:color="000000" w:sz="4" w:space="0"/>
              <w:right w:val="single" w:color="000000" w:sz="6" w:space="0"/>
            </w:tcBorders>
            <w:vAlign w:val="center"/>
          </w:tcPr>
          <w:p>
            <w:pPr>
              <w:pStyle w:val="69"/>
              <w:spacing w:before="167"/>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符合谈判文件要求。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jc w:val="center"/>
        </w:trPr>
        <w:tc>
          <w:tcPr>
            <w:tcW w:w="512" w:type="pct"/>
            <w:tcBorders>
              <w:top w:val="single" w:color="000000" w:sz="4" w:space="0"/>
              <w:left w:val="single" w:color="000000" w:sz="6" w:space="0"/>
              <w:bottom w:val="single" w:color="000000" w:sz="6" w:space="0"/>
              <w:right w:val="single" w:color="000000" w:sz="6" w:space="0"/>
            </w:tcBorders>
            <w:vAlign w:val="center"/>
          </w:tcPr>
          <w:p>
            <w:pPr>
              <w:pStyle w:val="69"/>
              <w:spacing w:before="170"/>
              <w:ind w:left="14"/>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9</w:t>
            </w:r>
          </w:p>
        </w:tc>
        <w:tc>
          <w:tcPr>
            <w:tcW w:w="1199" w:type="pct"/>
            <w:tcBorders>
              <w:top w:val="single" w:color="000000" w:sz="4" w:space="0"/>
              <w:left w:val="single" w:color="000000" w:sz="6" w:space="0"/>
              <w:bottom w:val="single" w:color="000000" w:sz="6" w:space="0"/>
              <w:right w:val="single" w:color="000000" w:sz="6" w:space="0"/>
            </w:tcBorders>
            <w:vAlign w:val="center"/>
          </w:tcPr>
          <w:p>
            <w:pPr>
              <w:pStyle w:val="69"/>
              <w:spacing w:before="170"/>
              <w:ind w:left="108"/>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授权书</w:t>
            </w:r>
          </w:p>
        </w:tc>
        <w:tc>
          <w:tcPr>
            <w:tcW w:w="3288" w:type="pct"/>
            <w:tcBorders>
              <w:top w:val="single" w:color="000000" w:sz="4" w:space="0"/>
              <w:left w:val="single" w:color="000000" w:sz="6" w:space="0"/>
              <w:bottom w:val="single" w:color="000000" w:sz="6" w:space="0"/>
              <w:right w:val="single" w:color="000000" w:sz="6" w:space="0"/>
            </w:tcBorders>
            <w:vAlign w:val="center"/>
          </w:tcPr>
          <w:p>
            <w:pPr>
              <w:pStyle w:val="69"/>
              <w:spacing w:before="170"/>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符合谈判文件要求。</w:t>
            </w:r>
          </w:p>
        </w:tc>
      </w:tr>
    </w:tbl>
    <w:p>
      <w:pPr>
        <w:spacing w:line="362" w:lineRule="auto"/>
        <w:rPr>
          <w:color w:val="000000" w:themeColor="text1"/>
          <w:sz w:val="21"/>
          <w:szCs w:val="21"/>
          <w14:textFill>
            <w14:solidFill>
              <w14:schemeClr w14:val="tx1"/>
            </w14:solidFill>
          </w14:textFill>
        </w:rPr>
      </w:pPr>
    </w:p>
    <w:p>
      <w:pPr>
        <w:widowControl/>
        <w:autoSpaceDE/>
        <w:autoSpaceDN/>
        <w:spacing w:line="362" w:lineRule="auto"/>
        <w:rPr>
          <w:color w:val="000000" w:themeColor="text1"/>
          <w:sz w:val="21"/>
          <w:szCs w:val="21"/>
          <w14:textFill>
            <w14:solidFill>
              <w14:schemeClr w14:val="tx1"/>
            </w14:solidFill>
          </w14:textFill>
        </w:rPr>
        <w:sectPr>
          <w:pgSz w:w="11910" w:h="16840"/>
          <w:pgMar w:top="1380" w:right="1440" w:bottom="1580" w:left="1580" w:header="890" w:footer="1363" w:gutter="0"/>
          <w:cols w:space="720" w:num="1"/>
        </w:sectPr>
      </w:pPr>
    </w:p>
    <w:p>
      <w:pPr>
        <w:pStyle w:val="16"/>
        <w:spacing w:before="2"/>
        <w:rPr>
          <w:color w:val="000000" w:themeColor="text1"/>
          <w:sz w:val="21"/>
          <w:szCs w:val="21"/>
          <w14:textFill>
            <w14:solidFill>
              <w14:schemeClr w14:val="tx1"/>
            </w14:solidFill>
          </w14:textFill>
        </w:rPr>
      </w:pP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2280"/>
        <w:gridCol w:w="5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638" w:type="dxa"/>
            <w:tcBorders>
              <w:top w:val="single" w:color="000000" w:sz="4" w:space="0"/>
              <w:left w:val="single" w:color="000000" w:sz="6" w:space="0"/>
              <w:bottom w:val="single" w:color="000000" w:sz="6" w:space="0"/>
              <w:right w:val="single" w:color="000000" w:sz="6" w:space="0"/>
            </w:tcBorders>
            <w:vAlign w:val="center"/>
          </w:tcPr>
          <w:p>
            <w:pPr>
              <w:pStyle w:val="69"/>
              <w:spacing w:before="170"/>
              <w:ind w:right="182"/>
              <w:jc w:val="right"/>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10</w:t>
            </w:r>
          </w:p>
        </w:tc>
        <w:tc>
          <w:tcPr>
            <w:tcW w:w="2280" w:type="dxa"/>
            <w:tcBorders>
              <w:top w:val="single" w:color="000000" w:sz="4" w:space="0"/>
              <w:left w:val="single" w:color="000000" w:sz="6" w:space="0"/>
              <w:bottom w:val="single" w:color="000000" w:sz="6" w:space="0"/>
              <w:right w:val="single" w:color="000000" w:sz="6" w:space="0"/>
            </w:tcBorders>
            <w:vAlign w:val="center"/>
          </w:tcPr>
          <w:p>
            <w:pPr>
              <w:pStyle w:val="69"/>
              <w:spacing w:before="170"/>
              <w:ind w:left="108"/>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谈判响应函</w:t>
            </w:r>
          </w:p>
        </w:tc>
        <w:tc>
          <w:tcPr>
            <w:tcW w:w="5604" w:type="dxa"/>
            <w:tcBorders>
              <w:top w:val="single" w:color="000000" w:sz="4" w:space="0"/>
              <w:left w:val="single" w:color="000000" w:sz="6" w:space="0"/>
              <w:bottom w:val="single" w:color="000000" w:sz="6" w:space="0"/>
              <w:right w:val="single" w:color="000000" w:sz="6" w:space="0"/>
            </w:tcBorders>
            <w:vAlign w:val="center"/>
          </w:tcPr>
          <w:p>
            <w:pPr>
              <w:pStyle w:val="69"/>
              <w:spacing w:before="170"/>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符合谈判文件要求。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638" w:type="dxa"/>
            <w:tcBorders>
              <w:top w:val="single" w:color="000000" w:sz="6" w:space="0"/>
              <w:left w:val="single" w:color="000000" w:sz="6" w:space="0"/>
              <w:bottom w:val="single" w:color="000000" w:sz="6" w:space="0"/>
              <w:right w:val="single" w:color="000000" w:sz="6" w:space="0"/>
            </w:tcBorders>
            <w:vAlign w:val="center"/>
          </w:tcPr>
          <w:p>
            <w:pPr>
              <w:pStyle w:val="69"/>
              <w:spacing w:before="170"/>
              <w:ind w:right="182"/>
              <w:jc w:val="right"/>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11</w:t>
            </w:r>
          </w:p>
        </w:tc>
        <w:tc>
          <w:tcPr>
            <w:tcW w:w="2280" w:type="dxa"/>
            <w:tcBorders>
              <w:top w:val="single" w:color="000000" w:sz="6" w:space="0"/>
              <w:left w:val="single" w:color="000000" w:sz="6" w:space="0"/>
              <w:bottom w:val="single" w:color="000000" w:sz="6" w:space="0"/>
              <w:right w:val="single" w:color="000000" w:sz="6" w:space="0"/>
            </w:tcBorders>
            <w:vAlign w:val="center"/>
          </w:tcPr>
          <w:p>
            <w:pPr>
              <w:pStyle w:val="69"/>
              <w:spacing w:before="170"/>
              <w:ind w:left="108"/>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投标报价书</w:t>
            </w:r>
          </w:p>
        </w:tc>
        <w:tc>
          <w:tcPr>
            <w:tcW w:w="5604" w:type="dxa"/>
            <w:tcBorders>
              <w:top w:val="single" w:color="000000" w:sz="6" w:space="0"/>
              <w:left w:val="single" w:color="000000" w:sz="6" w:space="0"/>
              <w:bottom w:val="single" w:color="000000" w:sz="6" w:space="0"/>
              <w:right w:val="single" w:color="000000" w:sz="6" w:space="0"/>
            </w:tcBorders>
            <w:vAlign w:val="center"/>
          </w:tcPr>
          <w:p>
            <w:pPr>
              <w:pStyle w:val="69"/>
              <w:spacing w:before="170"/>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符合谈判文件要求。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jc w:val="center"/>
        </w:trPr>
        <w:tc>
          <w:tcPr>
            <w:tcW w:w="638" w:type="dxa"/>
            <w:tcBorders>
              <w:top w:val="single" w:color="000000" w:sz="6" w:space="0"/>
              <w:left w:val="single" w:color="000000" w:sz="6" w:space="0"/>
              <w:bottom w:val="single" w:color="000000" w:sz="6" w:space="0"/>
              <w:right w:val="single" w:color="000000" w:sz="6" w:space="0"/>
            </w:tcBorders>
            <w:vAlign w:val="center"/>
          </w:tcPr>
          <w:p>
            <w:pPr>
              <w:pStyle w:val="69"/>
              <w:spacing w:before="1"/>
              <w:ind w:right="182"/>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12</w:t>
            </w:r>
          </w:p>
        </w:tc>
        <w:tc>
          <w:tcPr>
            <w:tcW w:w="2280" w:type="dxa"/>
            <w:tcBorders>
              <w:top w:val="single" w:color="000000" w:sz="6" w:space="0"/>
              <w:left w:val="single" w:color="000000" w:sz="6" w:space="0"/>
              <w:bottom w:val="single" w:color="000000" w:sz="6" w:space="0"/>
              <w:right w:val="single" w:color="000000" w:sz="6" w:space="0"/>
            </w:tcBorders>
            <w:vAlign w:val="center"/>
          </w:tcPr>
          <w:p>
            <w:pPr>
              <w:pStyle w:val="69"/>
              <w:spacing w:before="81" w:line="362" w:lineRule="auto"/>
              <w:ind w:right="9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无重大违法记录声明函、无不良信用记录声明函</w:t>
            </w:r>
          </w:p>
        </w:tc>
        <w:tc>
          <w:tcPr>
            <w:tcW w:w="5604" w:type="dxa"/>
            <w:tcBorders>
              <w:top w:val="single" w:color="000000" w:sz="6" w:space="0"/>
              <w:left w:val="single" w:color="000000" w:sz="6" w:space="0"/>
              <w:bottom w:val="single" w:color="000000" w:sz="6" w:space="0"/>
              <w:right w:val="single" w:color="000000" w:sz="6" w:space="0"/>
            </w:tcBorders>
            <w:vAlign w:val="center"/>
          </w:tcPr>
          <w:p>
            <w:pPr>
              <w:pStyle w:val="69"/>
              <w:spacing w:before="1"/>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符合谈判文件要求。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jc w:val="center"/>
        </w:trPr>
        <w:tc>
          <w:tcPr>
            <w:tcW w:w="638" w:type="dxa"/>
            <w:tcBorders>
              <w:top w:val="single" w:color="000000" w:sz="6" w:space="0"/>
              <w:left w:val="single" w:color="000000" w:sz="6" w:space="0"/>
              <w:bottom w:val="single" w:color="000000" w:sz="6" w:space="0"/>
              <w:right w:val="single" w:color="000000" w:sz="6" w:space="0"/>
            </w:tcBorders>
            <w:vAlign w:val="center"/>
          </w:tcPr>
          <w:p>
            <w:pPr>
              <w:pStyle w:val="69"/>
              <w:ind w:right="392"/>
              <w:jc w:val="center"/>
              <w:rPr>
                <w:color w:val="000000" w:themeColor="text1"/>
                <w:sz w:val="21"/>
                <w:szCs w:val="21"/>
                <w:lang w:eastAsia="en-US"/>
                <w14:textFill>
                  <w14:solidFill>
                    <w14:schemeClr w14:val="tx1"/>
                  </w14:solidFill>
                </w14:textFill>
              </w:rPr>
            </w:pPr>
            <w:r>
              <w:rPr>
                <w:rFonts w:hint="eastAsia"/>
                <w:color w:val="000000" w:themeColor="text1"/>
                <w:sz w:val="21"/>
                <w:szCs w:val="21"/>
                <w:lang w:eastAsia="en-US"/>
                <w14:textFill>
                  <w14:solidFill>
                    <w14:schemeClr w14:val="tx1"/>
                  </w14:solidFill>
                </w14:textFill>
              </w:rPr>
              <w:t>13</w:t>
            </w:r>
          </w:p>
        </w:tc>
        <w:tc>
          <w:tcPr>
            <w:tcW w:w="2280" w:type="dxa"/>
            <w:tcBorders>
              <w:top w:val="single" w:color="000000" w:sz="6" w:space="0"/>
              <w:left w:val="single" w:color="000000" w:sz="6" w:space="0"/>
              <w:bottom w:val="single" w:color="000000" w:sz="6" w:space="0"/>
              <w:right w:val="single" w:color="000000" w:sz="6" w:space="0"/>
            </w:tcBorders>
            <w:vAlign w:val="center"/>
          </w:tcPr>
          <w:p>
            <w:pPr>
              <w:pStyle w:val="69"/>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其他要求</w:t>
            </w:r>
          </w:p>
        </w:tc>
        <w:tc>
          <w:tcPr>
            <w:tcW w:w="5604" w:type="dxa"/>
            <w:tcBorders>
              <w:top w:val="single" w:color="000000" w:sz="6" w:space="0"/>
              <w:left w:val="single" w:color="000000" w:sz="6" w:space="0"/>
              <w:bottom w:val="single" w:color="000000" w:sz="6" w:space="0"/>
              <w:right w:val="single" w:color="000000" w:sz="6" w:space="0"/>
            </w:tcBorders>
            <w:vAlign w:val="center"/>
          </w:tcPr>
          <w:p>
            <w:pPr>
              <w:pStyle w:val="69"/>
              <w:spacing w:before="17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符合法律法规及竞谈文件要求的其他要求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jc w:val="center"/>
        </w:trPr>
        <w:tc>
          <w:tcPr>
            <w:tcW w:w="8522" w:type="dxa"/>
            <w:gridSpan w:val="3"/>
            <w:tcBorders>
              <w:top w:val="single" w:color="000000" w:sz="6" w:space="0"/>
              <w:left w:val="single" w:color="000000" w:sz="6" w:space="0"/>
              <w:bottom w:val="single" w:color="000000" w:sz="6" w:space="0"/>
              <w:right w:val="single" w:color="000000" w:sz="6" w:space="0"/>
            </w:tcBorders>
            <w:vAlign w:val="center"/>
          </w:tcPr>
          <w:p>
            <w:pPr>
              <w:pStyle w:val="69"/>
              <w:spacing w:before="4"/>
              <w:rPr>
                <w:color w:val="000000" w:themeColor="text1"/>
                <w:sz w:val="21"/>
                <w:szCs w:val="21"/>
                <w14:textFill>
                  <w14:solidFill>
                    <w14:schemeClr w14:val="tx1"/>
                  </w14:solidFill>
                </w14:textFill>
              </w:rPr>
            </w:pPr>
          </w:p>
          <w:p>
            <w:pPr>
              <w:pStyle w:val="6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评审指标通过标准：供应商必须通过上述全部指标。</w:t>
            </w:r>
          </w:p>
        </w:tc>
      </w:tr>
    </w:tbl>
    <w:p>
      <w:pPr>
        <w:widowControl/>
        <w:autoSpaceDE/>
        <w:autoSpaceDN/>
        <w:rPr>
          <w:color w:val="000000" w:themeColor="text1"/>
          <w:sz w:val="21"/>
          <w:szCs w:val="21"/>
          <w14:textFill>
            <w14:solidFill>
              <w14:schemeClr w14:val="tx1"/>
            </w14:solidFill>
          </w14:textFill>
        </w:rPr>
        <w:sectPr>
          <w:pgSz w:w="11910" w:h="16840"/>
          <w:pgMar w:top="1380" w:right="1440" w:bottom="1580" w:left="1580" w:header="890" w:footer="1363" w:gutter="0"/>
          <w:cols w:space="720" w:num="1"/>
        </w:sectPr>
      </w:pPr>
    </w:p>
    <w:p>
      <w:pPr>
        <w:keepNext/>
        <w:keepLines/>
        <w:spacing w:before="260" w:after="260" w:line="360" w:lineRule="auto"/>
        <w:jc w:val="center"/>
        <w:outlineLvl w:val="2"/>
        <w:rPr>
          <w:color w:val="000000" w:themeColor="text1"/>
          <w:sz w:val="32"/>
          <w:szCs w:val="32"/>
          <w14:textFill>
            <w14:solidFill>
              <w14:schemeClr w14:val="tx1"/>
            </w14:solidFill>
          </w14:textFill>
        </w:rPr>
      </w:pPr>
      <w:bookmarkStart w:id="34" w:name="_Toc506107334"/>
      <w:bookmarkStart w:id="35" w:name="_Toc503196145"/>
      <w:bookmarkStart w:id="36" w:name="_Toc29918569"/>
      <w:bookmarkStart w:id="37" w:name="_Toc15058928"/>
      <w:bookmarkStart w:id="38" w:name="_Toc500174755"/>
      <w:bookmarkStart w:id="39" w:name="_Toc470528208"/>
      <w:r>
        <w:rPr>
          <w:rFonts w:hint="eastAsia"/>
          <w:b/>
          <w:bCs/>
          <w:color w:val="000000" w:themeColor="text1"/>
          <w:sz w:val="32"/>
          <w:szCs w:val="32"/>
          <w14:textFill>
            <w14:solidFill>
              <w14:schemeClr w14:val="tx1"/>
            </w14:solidFill>
          </w14:textFill>
        </w:rPr>
        <w:t>第五章</w:t>
      </w:r>
      <w:r>
        <w:rPr>
          <w:rFonts w:hint="eastAsia"/>
          <w:b/>
          <w:bCs/>
          <w:color w:val="000000" w:themeColor="text1"/>
          <w:sz w:val="32"/>
          <w:szCs w:val="32"/>
          <w:lang w:val="en-US"/>
          <w14:textFill>
            <w14:solidFill>
              <w14:schemeClr w14:val="tx1"/>
            </w14:solidFill>
          </w14:textFill>
        </w:rPr>
        <w:t xml:space="preserve"> 采购合同</w:t>
      </w:r>
      <w:r>
        <w:rPr>
          <w:rFonts w:hint="eastAsia"/>
          <w:color w:val="000000" w:themeColor="text1"/>
          <w:sz w:val="32"/>
          <w:szCs w:val="32"/>
          <w14:textFill>
            <w14:solidFill>
              <w14:schemeClr w14:val="tx1"/>
            </w14:solidFill>
          </w14:textFill>
        </w:rPr>
        <w:tab/>
      </w:r>
      <w:r>
        <w:rPr>
          <w:rFonts w:hint="eastAsia"/>
          <w:color w:val="000000" w:themeColor="text1"/>
          <w:sz w:val="32"/>
          <w:szCs w:val="32"/>
          <w14:textFill>
            <w14:solidFill>
              <w14:schemeClr w14:val="tx1"/>
            </w14:solidFill>
          </w14:textFill>
        </w:rPr>
        <w:t xml:space="preserve"> </w:t>
      </w:r>
      <w:bookmarkEnd w:id="34"/>
      <w:bookmarkEnd w:id="35"/>
      <w:bookmarkEnd w:id="36"/>
      <w:bookmarkEnd w:id="37"/>
      <w:bookmarkEnd w:id="38"/>
      <w:bookmarkEnd w:id="39"/>
    </w:p>
    <w:p>
      <w:pPr>
        <w:keepNext/>
        <w:keepLines/>
        <w:spacing w:before="260" w:after="260" w:line="415" w:lineRule="auto"/>
        <w:jc w:val="center"/>
        <w:outlineLvl w:val="2"/>
        <w:rPr>
          <w:rFonts w:ascii="黑体" w:hAnsi="Calibri" w:eastAsia="黑体" w:cs="黑体"/>
          <w:bCs/>
          <w:color w:val="000000" w:themeColor="text1"/>
          <w:sz w:val="28"/>
          <w:szCs w:val="28"/>
          <w14:textFill>
            <w14:solidFill>
              <w14:schemeClr w14:val="tx1"/>
            </w14:solidFill>
          </w14:textFill>
        </w:rPr>
      </w:pPr>
      <w:r>
        <w:rPr>
          <w:rFonts w:hint="eastAsia" w:ascii="黑体" w:hAnsi="Calibri" w:eastAsia="黑体" w:cs="黑体"/>
          <w:b/>
          <w:bCs/>
          <w:color w:val="000000" w:themeColor="text1"/>
          <w:sz w:val="28"/>
          <w:szCs w:val="28"/>
          <w14:textFill>
            <w14:solidFill>
              <w14:schemeClr w14:val="tx1"/>
            </w14:solidFill>
          </w14:textFill>
        </w:rPr>
        <w:t>第一节 合同协议书</w:t>
      </w:r>
    </w:p>
    <w:p>
      <w:pPr>
        <w:spacing w:line="360" w:lineRule="auto"/>
        <w:ind w:firstLine="420" w:firstLineChars="200"/>
        <w:rPr>
          <w:rFonts w:hAnsi="Calibri"/>
          <w:color w:val="000000" w:themeColor="text1"/>
          <w:sz w:val="21"/>
          <w:szCs w:val="21"/>
          <w:u w:val="single"/>
          <w14:textFill>
            <w14:solidFill>
              <w14:schemeClr w14:val="tx1"/>
            </w14:solidFill>
          </w14:textFill>
        </w:rPr>
      </w:pPr>
      <w:r>
        <w:rPr>
          <w:rFonts w:hint="eastAsia" w:hAnsi="Calibri"/>
          <w:color w:val="000000" w:themeColor="text1"/>
          <w:sz w:val="21"/>
          <w:szCs w:val="21"/>
          <w14:textFill>
            <w14:solidFill>
              <w14:schemeClr w14:val="tx1"/>
            </w14:solidFill>
          </w14:textFill>
        </w:rPr>
        <w:t>发包人（全称）：</w:t>
      </w:r>
      <w:r>
        <w:rPr>
          <w:rFonts w:hint="eastAsia" w:hAnsi="Calibri"/>
          <w:color w:val="000000" w:themeColor="text1"/>
          <w:sz w:val="21"/>
          <w:szCs w:val="21"/>
          <w:u w:val="single"/>
          <w14:textFill>
            <w14:solidFill>
              <w14:schemeClr w14:val="tx1"/>
            </w14:solidFill>
          </w14:textFill>
        </w:rPr>
        <w:t xml:space="preserve">                                    </w:t>
      </w:r>
    </w:p>
    <w:p>
      <w:pPr>
        <w:spacing w:line="360" w:lineRule="auto"/>
        <w:ind w:firstLine="420" w:firstLineChars="200"/>
        <w:rPr>
          <w:rFonts w:hAnsi="Calibri"/>
          <w:color w:val="000000" w:themeColor="text1"/>
          <w:sz w:val="21"/>
          <w:szCs w:val="21"/>
          <w:u w:val="single"/>
          <w14:textFill>
            <w14:solidFill>
              <w14:schemeClr w14:val="tx1"/>
            </w14:solidFill>
          </w14:textFill>
        </w:rPr>
      </w:pPr>
      <w:r>
        <w:rPr>
          <w:rFonts w:hint="eastAsia" w:hAnsi="Calibri"/>
          <w:color w:val="000000" w:themeColor="text1"/>
          <w:sz w:val="21"/>
          <w:szCs w:val="21"/>
          <w14:textFill>
            <w14:solidFill>
              <w14:schemeClr w14:val="tx1"/>
            </w14:solidFill>
          </w14:textFill>
        </w:rPr>
        <w:t>承包人（全称）：</w:t>
      </w:r>
      <w:r>
        <w:rPr>
          <w:rFonts w:hint="eastAsia" w:hAnsi="Calibri"/>
          <w:color w:val="000000" w:themeColor="text1"/>
          <w:sz w:val="21"/>
          <w:szCs w:val="21"/>
          <w:u w:val="single"/>
          <w14:textFill>
            <w14:solidFill>
              <w14:schemeClr w14:val="tx1"/>
            </w14:solidFill>
          </w14:textFill>
        </w:rPr>
        <w:t xml:space="preserve">                                    </w:t>
      </w:r>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根据《中华人民共和国民法典》、《中华人民共和国建筑法》及有关法律规定，遵循平等、自愿、公平和诚实信用的原则，双方就</w:t>
      </w:r>
      <w:r>
        <w:rPr>
          <w:rFonts w:hint="eastAsia" w:hAnsi="Calibri"/>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14:textFill>
            <w14:solidFill>
              <w14:schemeClr w14:val="tx1"/>
            </w14:solidFill>
          </w14:textFill>
        </w:rPr>
        <w:t>工程施工及有关事项协商一致，共同达成如下协议：</w:t>
      </w:r>
    </w:p>
    <w:p>
      <w:pPr>
        <w:keepNext/>
        <w:keepLines/>
        <w:spacing w:line="360" w:lineRule="auto"/>
        <w:ind w:firstLine="420" w:firstLineChars="200"/>
        <w:outlineLvl w:val="3"/>
        <w:rPr>
          <w:rFonts w:hAnsi="Arial"/>
          <w:b/>
          <w:color w:val="000000" w:themeColor="text1"/>
          <w:sz w:val="21"/>
          <w:szCs w:val="21"/>
          <w14:textFill>
            <w14:solidFill>
              <w14:schemeClr w14:val="tx1"/>
            </w14:solidFill>
          </w14:textFill>
        </w:rPr>
      </w:pPr>
      <w:bookmarkStart w:id="40" w:name="_Toc500174756"/>
      <w:bookmarkStart w:id="41" w:name="_Toc503196146"/>
      <w:bookmarkStart w:id="42" w:name="_Toc20927"/>
      <w:r>
        <w:rPr>
          <w:rFonts w:hint="eastAsia" w:hAnsi="Arial"/>
          <w:bCs/>
          <w:color w:val="000000" w:themeColor="text1"/>
          <w:sz w:val="21"/>
          <w:szCs w:val="21"/>
          <w14:textFill>
            <w14:solidFill>
              <w14:schemeClr w14:val="tx1"/>
            </w14:solidFill>
          </w14:textFill>
        </w:rPr>
        <w:t>一、工程概况</w:t>
      </w:r>
      <w:bookmarkEnd w:id="40"/>
      <w:bookmarkEnd w:id="41"/>
      <w:bookmarkEnd w:id="42"/>
    </w:p>
    <w:p>
      <w:pPr>
        <w:spacing w:line="360" w:lineRule="auto"/>
        <w:ind w:firstLine="420" w:firstLineChars="200"/>
        <w:rPr>
          <w:rFonts w:hAnsi="Calibri"/>
          <w:color w:val="000000" w:themeColor="text1"/>
          <w:sz w:val="21"/>
          <w:szCs w:val="21"/>
          <w:u w:val="single"/>
          <w14:textFill>
            <w14:solidFill>
              <w14:schemeClr w14:val="tx1"/>
            </w14:solidFill>
          </w14:textFill>
        </w:rPr>
      </w:pPr>
      <w:r>
        <w:rPr>
          <w:rFonts w:hint="eastAsia" w:hAnsi="Calibri"/>
          <w:bCs/>
          <w:color w:val="000000" w:themeColor="text1"/>
          <w:sz w:val="21"/>
          <w:szCs w:val="21"/>
          <w14:textFill>
            <w14:solidFill>
              <w14:schemeClr w14:val="tx1"/>
            </w14:solidFill>
          </w14:textFill>
        </w:rPr>
        <w:t>1.工程名称</w:t>
      </w:r>
      <w:r>
        <w:rPr>
          <w:rFonts w:hint="eastAsia" w:hAnsi="Calibri"/>
          <w:color w:val="000000" w:themeColor="text1"/>
          <w:sz w:val="21"/>
          <w:szCs w:val="21"/>
          <w14:textFill>
            <w14:solidFill>
              <w14:schemeClr w14:val="tx1"/>
            </w14:solidFill>
          </w14:textFill>
        </w:rPr>
        <w:t>：</w:t>
      </w:r>
      <w:r>
        <w:rPr>
          <w:rFonts w:hint="eastAsia" w:hAnsi="Calibri"/>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14:textFill>
            <w14:solidFill>
              <w14:schemeClr w14:val="tx1"/>
            </w14:solidFill>
          </w14:textFill>
        </w:rPr>
        <w:t>。</w:t>
      </w:r>
    </w:p>
    <w:p>
      <w:pPr>
        <w:spacing w:line="360" w:lineRule="auto"/>
        <w:ind w:firstLine="420" w:firstLineChars="200"/>
        <w:rPr>
          <w:rFonts w:hAnsi="Calibri"/>
          <w:bCs/>
          <w:color w:val="000000" w:themeColor="text1"/>
          <w:sz w:val="21"/>
          <w:szCs w:val="21"/>
          <w14:textFill>
            <w14:solidFill>
              <w14:schemeClr w14:val="tx1"/>
            </w14:solidFill>
          </w14:textFill>
        </w:rPr>
      </w:pPr>
      <w:r>
        <w:rPr>
          <w:rFonts w:hint="eastAsia" w:hAnsi="Calibri"/>
          <w:bCs/>
          <w:color w:val="000000" w:themeColor="text1"/>
          <w:sz w:val="21"/>
          <w:szCs w:val="21"/>
          <w14:textFill>
            <w14:solidFill>
              <w14:schemeClr w14:val="tx1"/>
            </w14:solidFill>
          </w14:textFill>
        </w:rPr>
        <w:t>2.工程地点：</w:t>
      </w:r>
      <w:r>
        <w:rPr>
          <w:rFonts w:hint="eastAsia" w:hAnsi="Calibri"/>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14:textFill>
            <w14:solidFill>
              <w14:schemeClr w14:val="tx1"/>
            </w14:solidFill>
          </w14:textFill>
        </w:rPr>
        <w:t>。</w:t>
      </w:r>
    </w:p>
    <w:p>
      <w:pPr>
        <w:spacing w:line="360" w:lineRule="auto"/>
        <w:ind w:firstLine="420" w:firstLineChars="200"/>
        <w:rPr>
          <w:rFonts w:hAnsi="Calibri"/>
          <w:bCs/>
          <w:color w:val="000000" w:themeColor="text1"/>
          <w:sz w:val="21"/>
          <w:szCs w:val="21"/>
          <w14:textFill>
            <w14:solidFill>
              <w14:schemeClr w14:val="tx1"/>
            </w14:solidFill>
          </w14:textFill>
        </w:rPr>
      </w:pPr>
      <w:r>
        <w:rPr>
          <w:rFonts w:hint="eastAsia" w:hAnsi="Calibri"/>
          <w:bCs/>
          <w:color w:val="000000" w:themeColor="text1"/>
          <w:sz w:val="21"/>
          <w:szCs w:val="21"/>
          <w14:textFill>
            <w14:solidFill>
              <w14:schemeClr w14:val="tx1"/>
            </w14:solidFill>
          </w14:textFill>
        </w:rPr>
        <w:t>3.工程立项批准文号：</w:t>
      </w:r>
      <w:r>
        <w:rPr>
          <w:rFonts w:hint="eastAsia" w:hAnsi="Calibri"/>
          <w:bCs/>
          <w:color w:val="000000" w:themeColor="text1"/>
          <w:sz w:val="21"/>
          <w:szCs w:val="21"/>
          <w:u w:val="single"/>
          <w14:textFill>
            <w14:solidFill>
              <w14:schemeClr w14:val="tx1"/>
            </w14:solidFill>
          </w14:textFill>
        </w:rPr>
        <w:t xml:space="preserve">                          </w:t>
      </w:r>
      <w:r>
        <w:rPr>
          <w:rFonts w:hint="eastAsia" w:hAnsi="Calibri"/>
          <w:bCs/>
          <w:color w:val="000000" w:themeColor="text1"/>
          <w:sz w:val="21"/>
          <w:szCs w:val="21"/>
          <w14:textFill>
            <w14:solidFill>
              <w14:schemeClr w14:val="tx1"/>
            </w14:solidFill>
          </w14:textFill>
        </w:rPr>
        <w:t>。</w:t>
      </w:r>
    </w:p>
    <w:p>
      <w:pPr>
        <w:spacing w:line="360" w:lineRule="auto"/>
        <w:ind w:firstLine="420" w:firstLineChars="200"/>
        <w:rPr>
          <w:rFonts w:hAnsi="Calibri"/>
          <w:bCs/>
          <w:color w:val="000000" w:themeColor="text1"/>
          <w:sz w:val="21"/>
          <w:szCs w:val="21"/>
          <w14:textFill>
            <w14:solidFill>
              <w14:schemeClr w14:val="tx1"/>
            </w14:solidFill>
          </w14:textFill>
        </w:rPr>
      </w:pPr>
      <w:r>
        <w:rPr>
          <w:rFonts w:hint="eastAsia" w:hAnsi="Calibri"/>
          <w:bCs/>
          <w:color w:val="000000" w:themeColor="text1"/>
          <w:sz w:val="21"/>
          <w:szCs w:val="21"/>
          <w14:textFill>
            <w14:solidFill>
              <w14:schemeClr w14:val="tx1"/>
            </w14:solidFill>
          </w14:textFill>
        </w:rPr>
        <w:t>4.资金来源：</w:t>
      </w:r>
      <w:r>
        <w:rPr>
          <w:rFonts w:hint="eastAsia" w:hAnsi="Calibri"/>
          <w:bCs/>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u w:val="single"/>
          <w14:textFill>
            <w14:solidFill>
              <w14:schemeClr w14:val="tx1"/>
            </w14:solidFill>
          </w14:textFill>
        </w:rPr>
        <w:t xml:space="preserve">      </w:t>
      </w:r>
      <w:r>
        <w:rPr>
          <w:rFonts w:hint="eastAsia" w:hAnsi="Calibri"/>
          <w:bCs/>
          <w:color w:val="000000" w:themeColor="text1"/>
          <w:sz w:val="21"/>
          <w:szCs w:val="21"/>
          <w14:textFill>
            <w14:solidFill>
              <w14:schemeClr w14:val="tx1"/>
            </w14:solidFill>
          </w14:textFill>
        </w:rPr>
        <w:t>。</w:t>
      </w:r>
    </w:p>
    <w:p>
      <w:pPr>
        <w:spacing w:line="360" w:lineRule="auto"/>
        <w:ind w:firstLine="420" w:firstLineChars="200"/>
        <w:rPr>
          <w:rFonts w:hAnsi="Calibri"/>
          <w:bCs/>
          <w:color w:val="000000" w:themeColor="text1"/>
          <w:sz w:val="21"/>
          <w:szCs w:val="21"/>
          <w14:textFill>
            <w14:solidFill>
              <w14:schemeClr w14:val="tx1"/>
            </w14:solidFill>
          </w14:textFill>
        </w:rPr>
      </w:pPr>
      <w:r>
        <w:rPr>
          <w:rFonts w:hint="eastAsia" w:hAnsi="Calibri"/>
          <w:bCs/>
          <w:color w:val="000000" w:themeColor="text1"/>
          <w:sz w:val="21"/>
          <w:szCs w:val="21"/>
          <w14:textFill>
            <w14:solidFill>
              <w14:schemeClr w14:val="tx1"/>
            </w14:solidFill>
          </w14:textFill>
        </w:rPr>
        <w:t>5.工程内容：</w:t>
      </w:r>
      <w:r>
        <w:rPr>
          <w:rFonts w:hint="eastAsia" w:hAnsi="Calibri"/>
          <w:bCs/>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u w:val="single"/>
          <w14:textFill>
            <w14:solidFill>
              <w14:schemeClr w14:val="tx1"/>
            </w14:solidFill>
          </w14:textFill>
        </w:rPr>
        <w:t xml:space="preserve">      </w:t>
      </w:r>
      <w:r>
        <w:rPr>
          <w:rFonts w:hint="eastAsia" w:hAnsi="Calibri"/>
          <w:bCs/>
          <w:color w:val="000000" w:themeColor="text1"/>
          <w:sz w:val="21"/>
          <w:szCs w:val="21"/>
          <w14:textFill>
            <w14:solidFill>
              <w14:schemeClr w14:val="tx1"/>
            </w14:solidFill>
          </w14:textFill>
        </w:rPr>
        <w:t>。</w:t>
      </w:r>
    </w:p>
    <w:p>
      <w:pPr>
        <w:spacing w:line="360" w:lineRule="auto"/>
        <w:ind w:firstLine="420" w:firstLineChars="200"/>
        <w:rPr>
          <w:rFonts w:hAnsi="Calibri"/>
          <w:bCs/>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群体工程应附《承包人承揽工程项目一览表》（附件1）。</w:t>
      </w:r>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bCs/>
          <w:color w:val="000000" w:themeColor="text1"/>
          <w:sz w:val="21"/>
          <w:szCs w:val="21"/>
          <w14:textFill>
            <w14:solidFill>
              <w14:schemeClr w14:val="tx1"/>
            </w14:solidFill>
          </w14:textFill>
        </w:rPr>
        <w:t>6.工程承包范围：</w:t>
      </w:r>
      <w:r>
        <w:rPr>
          <w:rFonts w:hint="eastAsia" w:hAnsi="Calibri"/>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本工程施工图纸和工程量清单中的所有内容</w:t>
      </w:r>
      <w:r>
        <w:rPr>
          <w:rFonts w:hint="eastAsia" w:hAnsi="Calibri"/>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14:textFill>
            <w14:solidFill>
              <w14:schemeClr w14:val="tx1"/>
            </w14:solidFill>
          </w14:textFill>
        </w:rPr>
        <w:t>。</w:t>
      </w:r>
    </w:p>
    <w:p>
      <w:pPr>
        <w:keepNext/>
        <w:keepLines/>
        <w:spacing w:line="360" w:lineRule="auto"/>
        <w:ind w:firstLine="420" w:firstLineChars="200"/>
        <w:outlineLvl w:val="3"/>
        <w:rPr>
          <w:rFonts w:hAnsi="Arial"/>
          <w:bCs/>
          <w:color w:val="000000" w:themeColor="text1"/>
          <w:sz w:val="21"/>
          <w:szCs w:val="21"/>
          <w14:textFill>
            <w14:solidFill>
              <w14:schemeClr w14:val="tx1"/>
            </w14:solidFill>
          </w14:textFill>
        </w:rPr>
      </w:pPr>
      <w:bookmarkStart w:id="43" w:name="_Toc3517"/>
      <w:bookmarkStart w:id="44" w:name="_Toc500174757"/>
      <w:bookmarkStart w:id="45" w:name="_Toc503196147"/>
      <w:r>
        <w:rPr>
          <w:rFonts w:hint="eastAsia" w:hAnsi="Arial"/>
          <w:bCs/>
          <w:color w:val="000000" w:themeColor="text1"/>
          <w:sz w:val="21"/>
          <w:szCs w:val="21"/>
          <w14:textFill>
            <w14:solidFill>
              <w14:schemeClr w14:val="tx1"/>
            </w14:solidFill>
          </w14:textFill>
        </w:rPr>
        <w:t>二、合同工期</w:t>
      </w:r>
      <w:bookmarkEnd w:id="43"/>
      <w:bookmarkEnd w:id="44"/>
      <w:bookmarkEnd w:id="45"/>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计划开工日期：</w:t>
      </w:r>
      <w:r>
        <w:rPr>
          <w:rFonts w:hint="eastAsia" w:hAnsi="Calibri"/>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14:textFill>
            <w14:solidFill>
              <w14:schemeClr w14:val="tx1"/>
            </w14:solidFill>
          </w14:textFill>
        </w:rPr>
        <w:t>年</w:t>
      </w:r>
      <w:r>
        <w:rPr>
          <w:rFonts w:hint="eastAsia" w:hAnsi="Calibri"/>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14:textFill>
            <w14:solidFill>
              <w14:schemeClr w14:val="tx1"/>
            </w14:solidFill>
          </w14:textFill>
        </w:rPr>
        <w:t>月</w:t>
      </w:r>
      <w:r>
        <w:rPr>
          <w:rFonts w:hint="eastAsia" w:hAnsi="Calibri"/>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14:textFill>
            <w14:solidFill>
              <w14:schemeClr w14:val="tx1"/>
            </w14:solidFill>
          </w14:textFill>
        </w:rPr>
        <w:t>日。</w:t>
      </w:r>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计划竣工日期：</w:t>
      </w:r>
      <w:r>
        <w:rPr>
          <w:rFonts w:hint="eastAsia" w:hAnsi="Calibri"/>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14:textFill>
            <w14:solidFill>
              <w14:schemeClr w14:val="tx1"/>
            </w14:solidFill>
          </w14:textFill>
        </w:rPr>
        <w:t>年</w:t>
      </w:r>
      <w:r>
        <w:rPr>
          <w:rFonts w:hint="eastAsia" w:hAnsi="Calibri"/>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14:textFill>
            <w14:solidFill>
              <w14:schemeClr w14:val="tx1"/>
            </w14:solidFill>
          </w14:textFill>
        </w:rPr>
        <w:t>月</w:t>
      </w:r>
      <w:r>
        <w:rPr>
          <w:rFonts w:hint="eastAsia" w:hAnsi="Calibri"/>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14:textFill>
            <w14:solidFill>
              <w14:schemeClr w14:val="tx1"/>
            </w14:solidFill>
          </w14:textFill>
        </w:rPr>
        <w:t>日。</w:t>
      </w:r>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工期总日历天数：</w:t>
      </w:r>
      <w:r>
        <w:rPr>
          <w:rFonts w:hint="eastAsia" w:hAnsi="Calibri"/>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14:textFill>
            <w14:solidFill>
              <w14:schemeClr w14:val="tx1"/>
            </w14:solidFill>
          </w14:textFill>
        </w:rPr>
        <w:t>天。工期总日历天数与根据前述计划开竣工日期计算的工期天数不一致的，以工期总日历天数为准。</w:t>
      </w:r>
    </w:p>
    <w:p>
      <w:pPr>
        <w:keepNext/>
        <w:keepLines/>
        <w:spacing w:line="360" w:lineRule="auto"/>
        <w:ind w:firstLine="420" w:firstLineChars="200"/>
        <w:outlineLvl w:val="3"/>
        <w:rPr>
          <w:rFonts w:hAnsi="Arial"/>
          <w:b/>
          <w:color w:val="000000" w:themeColor="text1"/>
          <w:sz w:val="21"/>
          <w:szCs w:val="21"/>
          <w14:textFill>
            <w14:solidFill>
              <w14:schemeClr w14:val="tx1"/>
            </w14:solidFill>
          </w14:textFill>
        </w:rPr>
      </w:pPr>
      <w:bookmarkStart w:id="46" w:name="_Toc500174758"/>
      <w:bookmarkStart w:id="47" w:name="_Toc503196148"/>
      <w:bookmarkStart w:id="48" w:name="_Toc8246"/>
      <w:r>
        <w:rPr>
          <w:rFonts w:hint="eastAsia" w:hAnsi="Arial"/>
          <w:bCs/>
          <w:color w:val="000000" w:themeColor="text1"/>
          <w:sz w:val="21"/>
          <w:szCs w:val="21"/>
          <w14:textFill>
            <w14:solidFill>
              <w14:schemeClr w14:val="tx1"/>
            </w14:solidFill>
          </w14:textFill>
        </w:rPr>
        <w:t>三、质量标准</w:t>
      </w:r>
      <w:bookmarkEnd w:id="46"/>
      <w:bookmarkEnd w:id="47"/>
      <w:bookmarkEnd w:id="48"/>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ascii="Calibri" w:hAnsi="Calibri"/>
          <w:color w:val="000000" w:themeColor="text1"/>
          <w:sz w:val="21"/>
          <w:szCs w:val="21"/>
          <w14:textFill>
            <w14:solidFill>
              <w14:schemeClr w14:val="tx1"/>
            </w14:solidFill>
          </w14:textFill>
        </w:rPr>
        <w:t>工程质量必须达到国家工程施工质量验收</w:t>
      </w:r>
      <w:r>
        <w:rPr>
          <w:rFonts w:hint="eastAsia" w:ascii="Calibri" w:hAnsi="Calibri"/>
          <w:b/>
          <w:color w:val="000000" w:themeColor="text1"/>
          <w:sz w:val="21"/>
          <w:szCs w:val="21"/>
          <w:u w:val="single"/>
          <w14:textFill>
            <w14:solidFill>
              <w14:schemeClr w14:val="tx1"/>
            </w14:solidFill>
          </w14:textFill>
        </w:rPr>
        <w:t xml:space="preserve">     </w:t>
      </w:r>
      <w:r>
        <w:rPr>
          <w:rFonts w:hint="eastAsia" w:ascii="Calibri" w:hAnsi="Calibri"/>
          <w:color w:val="000000" w:themeColor="text1"/>
          <w:sz w:val="21"/>
          <w:szCs w:val="21"/>
          <w14:textFill>
            <w14:solidFill>
              <w14:schemeClr w14:val="tx1"/>
            </w14:solidFill>
          </w14:textFill>
        </w:rPr>
        <w:t>标准。</w:t>
      </w:r>
    </w:p>
    <w:p>
      <w:pPr>
        <w:keepNext/>
        <w:keepLines/>
        <w:spacing w:line="360" w:lineRule="auto"/>
        <w:ind w:firstLine="420" w:firstLineChars="200"/>
        <w:outlineLvl w:val="3"/>
        <w:rPr>
          <w:rFonts w:hAnsi="Arial"/>
          <w:b/>
          <w:color w:val="000000" w:themeColor="text1"/>
          <w:sz w:val="21"/>
          <w:szCs w:val="21"/>
          <w14:textFill>
            <w14:solidFill>
              <w14:schemeClr w14:val="tx1"/>
            </w14:solidFill>
          </w14:textFill>
        </w:rPr>
      </w:pPr>
      <w:bookmarkStart w:id="49" w:name="_Toc29282"/>
      <w:bookmarkStart w:id="50" w:name="_Toc503196149"/>
      <w:bookmarkStart w:id="51" w:name="_Toc500174759"/>
      <w:r>
        <w:rPr>
          <w:rFonts w:hint="eastAsia" w:hAnsi="Arial"/>
          <w:bCs/>
          <w:color w:val="000000" w:themeColor="text1"/>
          <w:sz w:val="21"/>
          <w:szCs w:val="21"/>
          <w14:textFill>
            <w14:solidFill>
              <w14:schemeClr w14:val="tx1"/>
            </w14:solidFill>
          </w14:textFill>
        </w:rPr>
        <w:t>四、签约合同价与合同价格形式</w:t>
      </w:r>
      <w:bookmarkEnd w:id="49"/>
      <w:bookmarkEnd w:id="50"/>
      <w:bookmarkEnd w:id="51"/>
      <w:r>
        <w:rPr>
          <w:rFonts w:hint="eastAsia" w:hAnsi="Arial"/>
          <w:bCs/>
          <w:color w:val="000000" w:themeColor="text1"/>
          <w:sz w:val="21"/>
          <w:szCs w:val="21"/>
          <w14:textFill>
            <w14:solidFill>
              <w14:schemeClr w14:val="tx1"/>
            </w14:solidFill>
          </w14:textFill>
        </w:rPr>
        <w:tab/>
      </w:r>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1.签约合同价为：</w:t>
      </w:r>
    </w:p>
    <w:p>
      <w:pPr>
        <w:adjustRightInd w:val="0"/>
        <w:snapToGrid w:val="0"/>
        <w:spacing w:after="120" w:line="520" w:lineRule="exact"/>
        <w:rPr>
          <w:rFonts w:ascii="仿宋_GB2312" w:hAnsi="仿宋_GB2312" w:cs="仿宋_GB2312"/>
          <w:color w:val="000000" w:themeColor="text1"/>
          <w:sz w:val="28"/>
          <w:szCs w:val="28"/>
          <w14:textFill>
            <w14:solidFill>
              <w14:schemeClr w14:val="tx1"/>
            </w14:solidFill>
          </w14:textFill>
        </w:rPr>
      </w:pPr>
      <w:r>
        <w:rPr>
          <w:rFonts w:hint="eastAsia" w:hAnsi="Calibri"/>
          <w:color w:val="000000" w:themeColor="text1"/>
          <w:sz w:val="21"/>
          <w:szCs w:val="22"/>
          <w14:textFill>
            <w14:solidFill>
              <w14:schemeClr w14:val="tx1"/>
            </w14:solidFill>
          </w14:textFill>
        </w:rPr>
        <w:t>人民币（大写）</w:t>
      </w:r>
      <w:r>
        <w:rPr>
          <w:rFonts w:hint="eastAsia" w:hAnsi="Calibri"/>
          <w:color w:val="000000" w:themeColor="text1"/>
          <w:sz w:val="21"/>
          <w:szCs w:val="22"/>
          <w:u w:val="single"/>
          <w14:textFill>
            <w14:solidFill>
              <w14:schemeClr w14:val="tx1"/>
            </w14:solidFill>
          </w14:textFill>
        </w:rPr>
        <w:t xml:space="preserve">                 </w:t>
      </w:r>
      <w:r>
        <w:rPr>
          <w:rFonts w:hint="eastAsia" w:hAnsi="Calibri"/>
          <w:color w:val="000000" w:themeColor="text1"/>
          <w:sz w:val="21"/>
          <w:szCs w:val="22"/>
          <w14:textFill>
            <w14:solidFill>
              <w14:schemeClr w14:val="tx1"/>
            </w14:solidFill>
          </w14:textFill>
        </w:rPr>
        <w:t>(¥</w:t>
      </w:r>
      <w:r>
        <w:rPr>
          <w:rFonts w:hint="eastAsia" w:hAnsi="Calibri"/>
          <w:color w:val="000000" w:themeColor="text1"/>
          <w:sz w:val="21"/>
          <w:szCs w:val="22"/>
          <w:u w:val="single"/>
          <w14:textFill>
            <w14:solidFill>
              <w14:schemeClr w14:val="tx1"/>
            </w14:solidFill>
          </w14:textFill>
        </w:rPr>
        <w:t xml:space="preserve">            </w:t>
      </w:r>
      <w:r>
        <w:rPr>
          <w:rFonts w:hint="eastAsia" w:hAnsi="Calibri"/>
          <w:color w:val="000000" w:themeColor="text1"/>
          <w:sz w:val="21"/>
          <w:szCs w:val="22"/>
          <w14:textFill>
            <w14:solidFill>
              <w14:schemeClr w14:val="tx1"/>
            </w14:solidFill>
          </w14:textFill>
        </w:rPr>
        <w:t>元</w:t>
      </w:r>
      <w:r>
        <w:rPr>
          <w:rFonts w:hint="eastAsia" w:hAnsi="Calibri"/>
          <w:color w:val="000000" w:themeColor="text1"/>
          <w:sz w:val="21"/>
          <w:szCs w:val="21"/>
          <w14:textFill>
            <w14:solidFill>
              <w14:schemeClr w14:val="tx1"/>
            </w14:solidFill>
          </w14:textFill>
        </w:rPr>
        <w:t>；</w:t>
      </w:r>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其中：</w:t>
      </w:r>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（1）安全文明施工费：</w:t>
      </w:r>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人民币（大写）</w:t>
      </w:r>
      <w:r>
        <w:rPr>
          <w:rFonts w:hint="eastAsia" w:hAnsi="Calibri"/>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14:textFill>
            <w14:solidFill>
              <w14:schemeClr w14:val="tx1"/>
            </w14:solidFill>
          </w14:textFill>
        </w:rPr>
        <w:t xml:space="preserve"> (¥</w:t>
      </w:r>
      <w:r>
        <w:rPr>
          <w:rFonts w:hint="eastAsia" w:hAnsi="Calibri"/>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14:textFill>
            <w14:solidFill>
              <w14:schemeClr w14:val="tx1"/>
            </w14:solidFill>
          </w14:textFill>
        </w:rPr>
        <w:t>元)；</w:t>
      </w:r>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（2）材料和工程设备暂估价金额：</w:t>
      </w:r>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人民币（大写）</w:t>
      </w:r>
      <w:r>
        <w:rPr>
          <w:rFonts w:hint="eastAsia" w:hAnsi="Calibri"/>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14:textFill>
            <w14:solidFill>
              <w14:schemeClr w14:val="tx1"/>
            </w14:solidFill>
          </w14:textFill>
        </w:rPr>
        <w:t xml:space="preserve"> (¥</w:t>
      </w:r>
      <w:r>
        <w:rPr>
          <w:rFonts w:hint="eastAsia" w:hAnsi="Calibri"/>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14:textFill>
            <w14:solidFill>
              <w14:schemeClr w14:val="tx1"/>
            </w14:solidFill>
          </w14:textFill>
        </w:rPr>
        <w:t>元)；</w:t>
      </w:r>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（3）专业工程暂估价金额：</w:t>
      </w:r>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人民币（大写）</w:t>
      </w:r>
      <w:r>
        <w:rPr>
          <w:rFonts w:hint="eastAsia" w:hAnsi="Calibri"/>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14:textFill>
            <w14:solidFill>
              <w14:schemeClr w14:val="tx1"/>
            </w14:solidFill>
          </w14:textFill>
        </w:rPr>
        <w:t xml:space="preserve"> (¥</w:t>
      </w:r>
      <w:r>
        <w:rPr>
          <w:rFonts w:hint="eastAsia" w:hAnsi="Calibri"/>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14:textFill>
            <w14:solidFill>
              <w14:schemeClr w14:val="tx1"/>
            </w14:solidFill>
          </w14:textFill>
        </w:rPr>
        <w:t>元)；</w:t>
      </w:r>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（4）暂列金额：</w:t>
      </w:r>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人民币（大写）</w:t>
      </w:r>
      <w:r>
        <w:rPr>
          <w:rFonts w:hint="eastAsia" w:hAnsi="Calibri"/>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14:textFill>
            <w14:solidFill>
              <w14:schemeClr w14:val="tx1"/>
            </w14:solidFill>
          </w14:textFill>
        </w:rPr>
        <w:t xml:space="preserve"> (¥</w:t>
      </w:r>
      <w:r>
        <w:rPr>
          <w:rFonts w:hint="eastAsia" w:hAnsi="Calibri"/>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14:textFill>
            <w14:solidFill>
              <w14:schemeClr w14:val="tx1"/>
            </w14:solidFill>
          </w14:textFill>
        </w:rPr>
        <w:t>元)。</w:t>
      </w:r>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2.合同价格形式：</w:t>
      </w:r>
      <w:r>
        <w:rPr>
          <w:rFonts w:hint="eastAsia" w:hAnsi="Calibri"/>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u w:val="single"/>
          <w:lang w:val="en-US"/>
          <w14:textFill>
            <w14:solidFill>
              <w14:schemeClr w14:val="tx1"/>
            </w14:solidFill>
          </w14:textFill>
        </w:rPr>
        <w:t>总</w:t>
      </w:r>
      <w:r>
        <w:rPr>
          <w:rFonts w:hint="eastAsia" w:hAnsi="Calibri"/>
          <w:color w:val="000000" w:themeColor="text1"/>
          <w:sz w:val="21"/>
          <w:szCs w:val="21"/>
          <w:u w:val="single"/>
          <w14:textFill>
            <w14:solidFill>
              <w14:schemeClr w14:val="tx1"/>
            </w14:solidFill>
          </w14:textFill>
        </w:rPr>
        <w:t>价合同           </w:t>
      </w:r>
      <w:r>
        <w:rPr>
          <w:rFonts w:hint="eastAsia" w:hAnsi="Calibri"/>
          <w:color w:val="000000" w:themeColor="text1"/>
          <w:sz w:val="21"/>
          <w:szCs w:val="21"/>
          <w14:textFill>
            <w14:solidFill>
              <w14:schemeClr w14:val="tx1"/>
            </w14:solidFill>
          </w14:textFill>
        </w:rPr>
        <w:t>。</w:t>
      </w:r>
    </w:p>
    <w:p>
      <w:pPr>
        <w:keepNext/>
        <w:keepLines/>
        <w:spacing w:line="360" w:lineRule="auto"/>
        <w:ind w:firstLine="420" w:firstLineChars="200"/>
        <w:outlineLvl w:val="3"/>
        <w:rPr>
          <w:rFonts w:hAnsi="Arial"/>
          <w:bCs/>
          <w:color w:val="000000" w:themeColor="text1"/>
          <w:sz w:val="21"/>
          <w:szCs w:val="21"/>
          <w14:textFill>
            <w14:solidFill>
              <w14:schemeClr w14:val="tx1"/>
            </w14:solidFill>
          </w14:textFill>
        </w:rPr>
      </w:pPr>
      <w:bookmarkStart w:id="52" w:name="_Toc503196150"/>
      <w:bookmarkStart w:id="53" w:name="_Toc500174760"/>
      <w:bookmarkStart w:id="54" w:name="_Toc2117"/>
      <w:r>
        <w:rPr>
          <w:rFonts w:hint="eastAsia" w:hAnsi="Arial"/>
          <w:bCs/>
          <w:color w:val="000000" w:themeColor="text1"/>
          <w:sz w:val="21"/>
          <w:szCs w:val="21"/>
          <w14:textFill>
            <w14:solidFill>
              <w14:schemeClr w14:val="tx1"/>
            </w14:solidFill>
          </w14:textFill>
        </w:rPr>
        <w:t>五、项目负责人（建造师）</w:t>
      </w:r>
      <w:bookmarkEnd w:id="52"/>
      <w:bookmarkEnd w:id="53"/>
      <w:bookmarkEnd w:id="54"/>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承包人项目负责人（建造师）：</w:t>
      </w:r>
      <w:r>
        <w:rPr>
          <w:rFonts w:hint="eastAsia" w:hAnsi="Calibri"/>
          <w:color w:val="000000" w:themeColor="text1"/>
          <w:sz w:val="21"/>
          <w:szCs w:val="21"/>
          <w:u w:val="single"/>
          <w14:textFill>
            <w14:solidFill>
              <w14:schemeClr w14:val="tx1"/>
            </w14:solidFill>
          </w14:textFill>
        </w:rPr>
        <w:t xml:space="preserve">                            </w:t>
      </w:r>
      <w:r>
        <w:rPr>
          <w:rFonts w:hint="eastAsia" w:hAnsi="Calibri"/>
          <w:color w:val="000000" w:themeColor="text1"/>
          <w:sz w:val="21"/>
          <w:szCs w:val="21"/>
          <w14:textFill>
            <w14:solidFill>
              <w14:schemeClr w14:val="tx1"/>
            </w14:solidFill>
          </w14:textFill>
        </w:rPr>
        <w:t>。</w:t>
      </w:r>
    </w:p>
    <w:p>
      <w:pPr>
        <w:keepNext/>
        <w:keepLines/>
        <w:spacing w:line="360" w:lineRule="auto"/>
        <w:ind w:firstLine="420" w:firstLineChars="200"/>
        <w:outlineLvl w:val="3"/>
        <w:rPr>
          <w:rFonts w:hAnsi="Arial"/>
          <w:b/>
          <w:color w:val="000000" w:themeColor="text1"/>
          <w:sz w:val="21"/>
          <w:szCs w:val="21"/>
          <w14:textFill>
            <w14:solidFill>
              <w14:schemeClr w14:val="tx1"/>
            </w14:solidFill>
          </w14:textFill>
        </w:rPr>
      </w:pPr>
      <w:bookmarkStart w:id="55" w:name="_Toc503196151"/>
      <w:bookmarkStart w:id="56" w:name="_Toc26073"/>
      <w:bookmarkStart w:id="57" w:name="_Toc500174761"/>
      <w:r>
        <w:rPr>
          <w:rFonts w:hint="eastAsia" w:hAnsi="Arial"/>
          <w:bCs/>
          <w:color w:val="000000" w:themeColor="text1"/>
          <w:sz w:val="21"/>
          <w:szCs w:val="21"/>
          <w14:textFill>
            <w14:solidFill>
              <w14:schemeClr w14:val="tx1"/>
            </w14:solidFill>
          </w14:textFill>
        </w:rPr>
        <w:t>六、合同文件构成</w:t>
      </w:r>
      <w:bookmarkEnd w:id="55"/>
      <w:bookmarkEnd w:id="56"/>
      <w:bookmarkEnd w:id="57"/>
    </w:p>
    <w:p>
      <w:pPr>
        <w:spacing w:line="360" w:lineRule="auto"/>
        <w:ind w:firstLine="420" w:firstLineChars="200"/>
        <w:rPr>
          <w:rFonts w:hAnsi="Calibri"/>
          <w:bCs/>
          <w:color w:val="000000" w:themeColor="text1"/>
          <w:sz w:val="21"/>
          <w:szCs w:val="21"/>
          <w14:textFill>
            <w14:solidFill>
              <w14:schemeClr w14:val="tx1"/>
            </w14:solidFill>
          </w14:textFill>
        </w:rPr>
      </w:pPr>
      <w:r>
        <w:rPr>
          <w:rFonts w:hint="eastAsia" w:hAnsi="Calibri"/>
          <w:bCs/>
          <w:color w:val="000000" w:themeColor="text1"/>
          <w:sz w:val="21"/>
          <w:szCs w:val="21"/>
          <w14:textFill>
            <w14:solidFill>
              <w14:schemeClr w14:val="tx1"/>
            </w14:solidFill>
          </w14:textFill>
        </w:rPr>
        <w:t>本协议书与下列文件一起构成合同文件：</w:t>
      </w:r>
    </w:p>
    <w:p>
      <w:pPr>
        <w:adjustRightInd w:val="0"/>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（1）中标通知书（如果有）；</w:t>
      </w:r>
    </w:p>
    <w:p>
      <w:pPr>
        <w:adjustRightInd w:val="0"/>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 xml:space="preserve">（2）投标函及其附录（如果有）； </w:t>
      </w:r>
    </w:p>
    <w:p>
      <w:pPr>
        <w:adjustRightInd w:val="0"/>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（3）专用合同条款及其附件；</w:t>
      </w:r>
    </w:p>
    <w:p>
      <w:pPr>
        <w:adjustRightInd w:val="0"/>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（4）通用合同条款；</w:t>
      </w:r>
    </w:p>
    <w:p>
      <w:pPr>
        <w:adjustRightInd w:val="0"/>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（5）技术标准和要求；</w:t>
      </w:r>
    </w:p>
    <w:p>
      <w:pPr>
        <w:adjustRightInd w:val="0"/>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（6）图纸；</w:t>
      </w:r>
    </w:p>
    <w:p>
      <w:pPr>
        <w:adjustRightInd w:val="0"/>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（7）已标价工程量清单或预算书；</w:t>
      </w:r>
    </w:p>
    <w:p>
      <w:pPr>
        <w:adjustRightInd w:val="0"/>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（8）其他合同文件。</w:t>
      </w:r>
    </w:p>
    <w:p>
      <w:pPr>
        <w:adjustRightInd w:val="0"/>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在合同订立及履行过程中形成的与合同有关的文件均构成合同文件组成部分。</w:t>
      </w:r>
    </w:p>
    <w:p>
      <w:pPr>
        <w:adjustRightInd w:val="0"/>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keepNext/>
        <w:keepLines/>
        <w:spacing w:line="360" w:lineRule="auto"/>
        <w:ind w:firstLine="420" w:firstLineChars="200"/>
        <w:outlineLvl w:val="3"/>
        <w:rPr>
          <w:rFonts w:hAnsi="Arial"/>
          <w:color w:val="000000" w:themeColor="text1"/>
          <w:sz w:val="21"/>
          <w:szCs w:val="21"/>
          <w14:textFill>
            <w14:solidFill>
              <w14:schemeClr w14:val="tx1"/>
            </w14:solidFill>
          </w14:textFill>
        </w:rPr>
      </w:pPr>
      <w:bookmarkStart w:id="58" w:name="_Toc25110"/>
      <w:bookmarkStart w:id="59" w:name="_Toc500174762"/>
      <w:bookmarkStart w:id="60" w:name="_Toc503196152"/>
      <w:r>
        <w:rPr>
          <w:rFonts w:hint="eastAsia" w:hAnsi="Arial"/>
          <w:bCs/>
          <w:color w:val="000000" w:themeColor="text1"/>
          <w:sz w:val="21"/>
          <w:szCs w:val="21"/>
          <w14:textFill>
            <w14:solidFill>
              <w14:schemeClr w14:val="tx1"/>
            </w14:solidFill>
          </w14:textFill>
        </w:rPr>
        <w:t>七、承诺</w:t>
      </w:r>
      <w:bookmarkEnd w:id="58"/>
      <w:bookmarkEnd w:id="59"/>
      <w:bookmarkEnd w:id="60"/>
    </w:p>
    <w:p>
      <w:pPr>
        <w:spacing w:line="360" w:lineRule="auto"/>
        <w:ind w:firstLine="420" w:firstLineChars="200"/>
        <w:rPr>
          <w:rFonts w:hAnsi="Calibri"/>
          <w:bCs/>
          <w:color w:val="000000" w:themeColor="text1"/>
          <w:sz w:val="21"/>
          <w:szCs w:val="21"/>
          <w14:textFill>
            <w14:solidFill>
              <w14:schemeClr w14:val="tx1"/>
            </w14:solidFill>
          </w14:textFill>
        </w:rPr>
      </w:pPr>
      <w:r>
        <w:rPr>
          <w:rFonts w:hint="eastAsia" w:hAnsi="Calibri"/>
          <w:bCs/>
          <w:color w:val="000000" w:themeColor="text1"/>
          <w:sz w:val="21"/>
          <w:szCs w:val="21"/>
          <w14:textFill>
            <w14:solidFill>
              <w14:schemeClr w14:val="tx1"/>
            </w14:solidFill>
          </w14:textFill>
        </w:rPr>
        <w:t>1.发包人承诺按照法律规定履行项目审批手续、筹集工程建设资金并按照合同约定的期限和方式支付合同价款。</w:t>
      </w:r>
    </w:p>
    <w:p>
      <w:pPr>
        <w:spacing w:line="360" w:lineRule="auto"/>
        <w:ind w:firstLine="420" w:firstLineChars="200"/>
        <w:rPr>
          <w:rFonts w:hAnsi="Calibri"/>
          <w:bCs/>
          <w:color w:val="000000" w:themeColor="text1"/>
          <w:sz w:val="21"/>
          <w:szCs w:val="21"/>
          <w14:textFill>
            <w14:solidFill>
              <w14:schemeClr w14:val="tx1"/>
            </w14:solidFill>
          </w14:textFill>
        </w:rPr>
      </w:pPr>
      <w:r>
        <w:rPr>
          <w:rFonts w:hint="eastAsia" w:hAnsi="Calibri"/>
          <w:bCs/>
          <w:color w:val="000000" w:themeColor="text1"/>
          <w:sz w:val="21"/>
          <w:szCs w:val="21"/>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hAnsi="Calibri"/>
          <w:bCs/>
          <w:color w:val="000000" w:themeColor="text1"/>
          <w:sz w:val="21"/>
          <w:szCs w:val="21"/>
          <w14:textFill>
            <w14:solidFill>
              <w14:schemeClr w14:val="tx1"/>
            </w14:solidFill>
          </w14:textFill>
        </w:rPr>
      </w:pPr>
      <w:r>
        <w:rPr>
          <w:rFonts w:hint="eastAsia" w:hAnsi="Calibri"/>
          <w:bCs/>
          <w:color w:val="000000" w:themeColor="text1"/>
          <w:sz w:val="21"/>
          <w:szCs w:val="21"/>
          <w14:textFill>
            <w14:solidFill>
              <w14:schemeClr w14:val="tx1"/>
            </w14:solidFill>
          </w14:textFill>
        </w:rPr>
        <w:t>3.发包人和承包人通过招投标形式签订合同的，双方理解并承诺不再就同一工程另行签订与合同实质性内容相背离的协议。</w:t>
      </w:r>
    </w:p>
    <w:p>
      <w:pPr>
        <w:spacing w:line="360" w:lineRule="auto"/>
        <w:ind w:firstLine="420" w:firstLineChars="200"/>
        <w:rPr>
          <w:b/>
          <w:strike/>
          <w:color w:val="000000" w:themeColor="text1"/>
          <w:sz w:val="21"/>
          <w:szCs w:val="21"/>
          <w14:textFill>
            <w14:solidFill>
              <w14:schemeClr w14:val="tx1"/>
            </w14:solidFill>
          </w14:textFill>
        </w:rPr>
      </w:pPr>
      <w:r>
        <w:rPr>
          <w:rFonts w:hint="eastAsia" w:hAnsi="Calibri"/>
          <w:bCs/>
          <w:color w:val="000000" w:themeColor="text1"/>
          <w:sz w:val="21"/>
          <w:szCs w:val="21"/>
          <w14:textFill>
            <w14:solidFill>
              <w14:schemeClr w14:val="tx1"/>
            </w14:solidFill>
          </w14:textFill>
        </w:rPr>
        <w:t>4. 承包人承诺在履约过程中除不可抗力外如放弃（拒绝）履约，同意发包人不予退还履约保证金。给发包人造成的损失超过履约保证金金额的，同意依法赔偿超过部分的损失。</w:t>
      </w:r>
    </w:p>
    <w:p>
      <w:pPr>
        <w:spacing w:line="360" w:lineRule="auto"/>
        <w:ind w:firstLine="420" w:firstLineChars="200"/>
        <w:rPr>
          <w:rFonts w:hAnsi="Calibri"/>
          <w:bCs/>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八、词语含义</w:t>
      </w:r>
    </w:p>
    <w:p>
      <w:pPr>
        <w:spacing w:line="360" w:lineRule="auto"/>
        <w:ind w:firstLine="420" w:firstLineChars="200"/>
        <w:rPr>
          <w:rFonts w:hAnsi="Calibri"/>
          <w:bCs/>
          <w:color w:val="000000" w:themeColor="text1"/>
          <w:sz w:val="21"/>
          <w:szCs w:val="21"/>
          <w14:textFill>
            <w14:solidFill>
              <w14:schemeClr w14:val="tx1"/>
            </w14:solidFill>
          </w14:textFill>
        </w:rPr>
      </w:pPr>
      <w:r>
        <w:rPr>
          <w:rFonts w:hint="eastAsia" w:hAnsi="Calibri"/>
          <w:bCs/>
          <w:color w:val="000000" w:themeColor="text1"/>
          <w:sz w:val="21"/>
          <w:szCs w:val="21"/>
          <w14:textFill>
            <w14:solidFill>
              <w14:schemeClr w14:val="tx1"/>
            </w14:solidFill>
          </w14:textFill>
        </w:rPr>
        <w:t>本协议书中词语含义与第二部分通用合同条款中赋予的含义相同。</w:t>
      </w:r>
    </w:p>
    <w:p>
      <w:pPr>
        <w:keepNext/>
        <w:keepLines/>
        <w:spacing w:line="360" w:lineRule="auto"/>
        <w:ind w:firstLine="420" w:firstLineChars="200"/>
        <w:outlineLvl w:val="3"/>
        <w:rPr>
          <w:rFonts w:hAnsi="Arial"/>
          <w:b/>
          <w:color w:val="000000" w:themeColor="text1"/>
          <w:sz w:val="21"/>
          <w:szCs w:val="21"/>
          <w14:textFill>
            <w14:solidFill>
              <w14:schemeClr w14:val="tx1"/>
            </w14:solidFill>
          </w14:textFill>
        </w:rPr>
      </w:pPr>
      <w:bookmarkStart w:id="61" w:name="_Toc500174763"/>
      <w:bookmarkStart w:id="62" w:name="_Toc503196153"/>
      <w:bookmarkStart w:id="63" w:name="_Toc5731"/>
      <w:r>
        <w:rPr>
          <w:rFonts w:hint="eastAsia" w:hAnsi="Arial"/>
          <w:bCs/>
          <w:color w:val="000000" w:themeColor="text1"/>
          <w:sz w:val="21"/>
          <w:szCs w:val="21"/>
          <w14:textFill>
            <w14:solidFill>
              <w14:schemeClr w14:val="tx1"/>
            </w14:solidFill>
          </w14:textFill>
        </w:rPr>
        <w:t>九、签订时间</w:t>
      </w:r>
      <w:bookmarkEnd w:id="61"/>
      <w:bookmarkEnd w:id="62"/>
      <w:bookmarkEnd w:id="63"/>
    </w:p>
    <w:p>
      <w:pPr>
        <w:spacing w:line="360" w:lineRule="auto"/>
        <w:ind w:firstLine="420" w:firstLineChars="200"/>
        <w:rPr>
          <w:rFonts w:hAnsi="Calibri"/>
          <w:bCs/>
          <w:color w:val="000000" w:themeColor="text1"/>
          <w:sz w:val="21"/>
          <w:szCs w:val="21"/>
          <w14:textFill>
            <w14:solidFill>
              <w14:schemeClr w14:val="tx1"/>
            </w14:solidFill>
          </w14:textFill>
        </w:rPr>
      </w:pPr>
      <w:r>
        <w:rPr>
          <w:rFonts w:hint="eastAsia" w:hAnsi="Calibri"/>
          <w:bCs/>
          <w:color w:val="000000" w:themeColor="text1"/>
          <w:sz w:val="21"/>
          <w:szCs w:val="21"/>
          <w14:textFill>
            <w14:solidFill>
              <w14:schemeClr w14:val="tx1"/>
            </w14:solidFill>
          </w14:textFill>
        </w:rPr>
        <w:t>本合同于</w:t>
      </w:r>
      <w:r>
        <w:rPr>
          <w:rFonts w:hint="eastAsia" w:hAnsi="Calibri"/>
          <w:bCs/>
          <w:color w:val="000000" w:themeColor="text1"/>
          <w:sz w:val="21"/>
          <w:szCs w:val="21"/>
          <w:u w:val="single"/>
          <w14:textFill>
            <w14:solidFill>
              <w14:schemeClr w14:val="tx1"/>
            </w14:solidFill>
          </w14:textFill>
        </w:rPr>
        <w:t xml:space="preserve">         </w:t>
      </w:r>
      <w:r>
        <w:rPr>
          <w:rFonts w:hint="eastAsia" w:hAnsi="Calibri"/>
          <w:bCs/>
          <w:color w:val="000000" w:themeColor="text1"/>
          <w:sz w:val="21"/>
          <w:szCs w:val="21"/>
          <w14:textFill>
            <w14:solidFill>
              <w14:schemeClr w14:val="tx1"/>
            </w14:solidFill>
          </w14:textFill>
        </w:rPr>
        <w:t>年</w:t>
      </w:r>
      <w:r>
        <w:rPr>
          <w:rFonts w:hint="eastAsia" w:hAnsi="Calibri"/>
          <w:bCs/>
          <w:color w:val="000000" w:themeColor="text1"/>
          <w:sz w:val="21"/>
          <w:szCs w:val="21"/>
          <w:u w:val="single"/>
          <w14:textFill>
            <w14:solidFill>
              <w14:schemeClr w14:val="tx1"/>
            </w14:solidFill>
          </w14:textFill>
        </w:rPr>
        <w:t xml:space="preserve">    </w:t>
      </w:r>
      <w:r>
        <w:rPr>
          <w:rFonts w:hint="eastAsia" w:hAnsi="Calibri"/>
          <w:bCs/>
          <w:color w:val="000000" w:themeColor="text1"/>
          <w:sz w:val="21"/>
          <w:szCs w:val="21"/>
          <w14:textFill>
            <w14:solidFill>
              <w14:schemeClr w14:val="tx1"/>
            </w14:solidFill>
          </w14:textFill>
        </w:rPr>
        <w:t>月</w:t>
      </w:r>
      <w:r>
        <w:rPr>
          <w:rFonts w:hint="eastAsia" w:hAnsi="Calibri"/>
          <w:bCs/>
          <w:color w:val="000000" w:themeColor="text1"/>
          <w:sz w:val="21"/>
          <w:szCs w:val="21"/>
          <w:u w:val="single"/>
          <w14:textFill>
            <w14:solidFill>
              <w14:schemeClr w14:val="tx1"/>
            </w14:solidFill>
          </w14:textFill>
        </w:rPr>
        <w:t xml:space="preserve">    </w:t>
      </w:r>
      <w:r>
        <w:rPr>
          <w:rFonts w:hint="eastAsia" w:hAnsi="Calibri"/>
          <w:bCs/>
          <w:color w:val="000000" w:themeColor="text1"/>
          <w:sz w:val="21"/>
          <w:szCs w:val="21"/>
          <w14:textFill>
            <w14:solidFill>
              <w14:schemeClr w14:val="tx1"/>
            </w14:solidFill>
          </w14:textFill>
        </w:rPr>
        <w:t>日签订。</w:t>
      </w:r>
    </w:p>
    <w:p>
      <w:pPr>
        <w:keepNext/>
        <w:keepLines/>
        <w:spacing w:line="360" w:lineRule="auto"/>
        <w:ind w:firstLine="420" w:firstLineChars="200"/>
        <w:outlineLvl w:val="3"/>
        <w:rPr>
          <w:rFonts w:hAnsi="Arial"/>
          <w:b/>
          <w:color w:val="000000" w:themeColor="text1"/>
          <w:sz w:val="21"/>
          <w:szCs w:val="21"/>
          <w14:textFill>
            <w14:solidFill>
              <w14:schemeClr w14:val="tx1"/>
            </w14:solidFill>
          </w14:textFill>
        </w:rPr>
      </w:pPr>
      <w:bookmarkStart w:id="64" w:name="_Toc500174764"/>
      <w:bookmarkStart w:id="65" w:name="_Toc503196154"/>
      <w:bookmarkStart w:id="66" w:name="_Toc1694"/>
      <w:r>
        <w:rPr>
          <w:rFonts w:hint="eastAsia" w:hAnsi="Arial"/>
          <w:bCs/>
          <w:color w:val="000000" w:themeColor="text1"/>
          <w:sz w:val="21"/>
          <w:szCs w:val="21"/>
          <w14:textFill>
            <w14:solidFill>
              <w14:schemeClr w14:val="tx1"/>
            </w14:solidFill>
          </w14:textFill>
        </w:rPr>
        <w:t>十、签订地点</w:t>
      </w:r>
      <w:bookmarkEnd w:id="64"/>
      <w:bookmarkEnd w:id="65"/>
      <w:bookmarkEnd w:id="66"/>
    </w:p>
    <w:p>
      <w:pPr>
        <w:spacing w:line="360" w:lineRule="auto"/>
        <w:ind w:firstLine="420" w:firstLineChars="200"/>
        <w:rPr>
          <w:rFonts w:hAnsi="Calibri"/>
          <w:bCs/>
          <w:color w:val="000000" w:themeColor="text1"/>
          <w:sz w:val="21"/>
          <w:szCs w:val="21"/>
          <w14:textFill>
            <w14:solidFill>
              <w14:schemeClr w14:val="tx1"/>
            </w14:solidFill>
          </w14:textFill>
        </w:rPr>
      </w:pPr>
      <w:r>
        <w:rPr>
          <w:rFonts w:hint="eastAsia" w:hAnsi="Calibri"/>
          <w:bCs/>
          <w:color w:val="000000" w:themeColor="text1"/>
          <w:sz w:val="21"/>
          <w:szCs w:val="21"/>
          <w14:textFill>
            <w14:solidFill>
              <w14:schemeClr w14:val="tx1"/>
            </w14:solidFill>
          </w14:textFill>
        </w:rPr>
        <w:t>本合同在</w:t>
      </w:r>
      <w:r>
        <w:rPr>
          <w:rFonts w:hint="eastAsia" w:hAnsi="Calibri"/>
          <w:bCs/>
          <w:color w:val="000000" w:themeColor="text1"/>
          <w:sz w:val="21"/>
          <w:szCs w:val="21"/>
          <w:u w:val="single"/>
          <w14:textFill>
            <w14:solidFill>
              <w14:schemeClr w14:val="tx1"/>
            </w14:solidFill>
          </w14:textFill>
        </w:rPr>
        <w:t xml:space="preserve">                                    </w:t>
      </w:r>
      <w:r>
        <w:rPr>
          <w:rFonts w:hint="eastAsia" w:hAnsi="Calibri"/>
          <w:bCs/>
          <w:color w:val="000000" w:themeColor="text1"/>
          <w:sz w:val="21"/>
          <w:szCs w:val="21"/>
          <w14:textFill>
            <w14:solidFill>
              <w14:schemeClr w14:val="tx1"/>
            </w14:solidFill>
          </w14:textFill>
        </w:rPr>
        <w:t>签订。</w:t>
      </w:r>
    </w:p>
    <w:p>
      <w:pPr>
        <w:keepNext/>
        <w:keepLines/>
        <w:spacing w:line="360" w:lineRule="auto"/>
        <w:ind w:firstLine="420" w:firstLineChars="200"/>
        <w:outlineLvl w:val="3"/>
        <w:rPr>
          <w:rFonts w:hAnsi="Arial"/>
          <w:b/>
          <w:color w:val="000000" w:themeColor="text1"/>
          <w:sz w:val="21"/>
          <w:szCs w:val="21"/>
          <w14:textFill>
            <w14:solidFill>
              <w14:schemeClr w14:val="tx1"/>
            </w14:solidFill>
          </w14:textFill>
        </w:rPr>
      </w:pPr>
      <w:bookmarkStart w:id="67" w:name="_Toc13812"/>
      <w:bookmarkStart w:id="68" w:name="_Toc503196155"/>
      <w:bookmarkStart w:id="69" w:name="_Toc500174765"/>
      <w:r>
        <w:rPr>
          <w:rFonts w:hint="eastAsia" w:hAnsi="Arial"/>
          <w:bCs/>
          <w:color w:val="000000" w:themeColor="text1"/>
          <w:sz w:val="21"/>
          <w:szCs w:val="21"/>
          <w14:textFill>
            <w14:solidFill>
              <w14:schemeClr w14:val="tx1"/>
            </w14:solidFill>
          </w14:textFill>
        </w:rPr>
        <w:t>十一、补充协议</w:t>
      </w:r>
      <w:bookmarkEnd w:id="67"/>
      <w:bookmarkEnd w:id="68"/>
      <w:bookmarkEnd w:id="69"/>
    </w:p>
    <w:p>
      <w:pPr>
        <w:spacing w:line="360" w:lineRule="auto"/>
        <w:ind w:firstLine="420" w:firstLineChars="200"/>
        <w:rPr>
          <w:rFonts w:hAnsi="Calibri"/>
          <w:b/>
          <w:bCs/>
          <w:color w:val="000000" w:themeColor="text1"/>
          <w:sz w:val="21"/>
          <w:szCs w:val="21"/>
          <w14:textFill>
            <w14:solidFill>
              <w14:schemeClr w14:val="tx1"/>
            </w14:solidFill>
          </w14:textFill>
        </w:rPr>
      </w:pPr>
      <w:r>
        <w:rPr>
          <w:rFonts w:hint="eastAsia" w:hAnsi="Calibri"/>
          <w:bCs/>
          <w:color w:val="000000" w:themeColor="text1"/>
          <w:sz w:val="21"/>
          <w:szCs w:val="21"/>
          <w14:textFill>
            <w14:solidFill>
              <w14:schemeClr w14:val="tx1"/>
            </w14:solidFill>
          </w14:textFill>
        </w:rPr>
        <w:t>合同未尽事宜，合同当事人另行签订补充协议，补充协议是合同的组成部分。</w:t>
      </w:r>
    </w:p>
    <w:p>
      <w:pPr>
        <w:keepNext/>
        <w:keepLines/>
        <w:spacing w:line="360" w:lineRule="auto"/>
        <w:ind w:firstLine="420" w:firstLineChars="200"/>
        <w:outlineLvl w:val="3"/>
        <w:rPr>
          <w:rFonts w:hAnsi="Arial"/>
          <w:b/>
          <w:color w:val="000000" w:themeColor="text1"/>
          <w:sz w:val="21"/>
          <w:szCs w:val="21"/>
          <w14:textFill>
            <w14:solidFill>
              <w14:schemeClr w14:val="tx1"/>
            </w14:solidFill>
          </w14:textFill>
        </w:rPr>
      </w:pPr>
      <w:bookmarkStart w:id="70" w:name="_Toc500174766"/>
      <w:bookmarkStart w:id="71" w:name="_Toc503196156"/>
      <w:bookmarkStart w:id="72" w:name="_Toc29072"/>
      <w:r>
        <w:rPr>
          <w:rFonts w:hint="eastAsia" w:hAnsi="Arial"/>
          <w:bCs/>
          <w:color w:val="000000" w:themeColor="text1"/>
          <w:sz w:val="21"/>
          <w:szCs w:val="21"/>
          <w14:textFill>
            <w14:solidFill>
              <w14:schemeClr w14:val="tx1"/>
            </w14:solidFill>
          </w14:textFill>
        </w:rPr>
        <w:t>十二、合同生效</w:t>
      </w:r>
      <w:bookmarkEnd w:id="70"/>
      <w:bookmarkEnd w:id="71"/>
      <w:bookmarkEnd w:id="72"/>
    </w:p>
    <w:p>
      <w:pPr>
        <w:spacing w:line="360" w:lineRule="auto"/>
        <w:ind w:firstLine="420" w:firstLineChars="200"/>
        <w:rPr>
          <w:rFonts w:hAnsi="Calibri"/>
          <w:bCs/>
          <w:color w:val="000000" w:themeColor="text1"/>
          <w:sz w:val="21"/>
          <w:szCs w:val="21"/>
          <w14:textFill>
            <w14:solidFill>
              <w14:schemeClr w14:val="tx1"/>
            </w14:solidFill>
          </w14:textFill>
        </w:rPr>
      </w:pPr>
      <w:r>
        <w:rPr>
          <w:rFonts w:hint="eastAsia" w:hAnsi="Calibri"/>
          <w:bCs/>
          <w:color w:val="000000" w:themeColor="text1"/>
          <w:sz w:val="21"/>
          <w:szCs w:val="21"/>
          <w14:textFill>
            <w14:solidFill>
              <w14:schemeClr w14:val="tx1"/>
            </w14:solidFill>
          </w14:textFill>
        </w:rPr>
        <w:t>本合同自</w:t>
      </w:r>
      <w:r>
        <w:rPr>
          <w:rFonts w:hint="eastAsia" w:hAnsi="Calibri"/>
          <w:bCs/>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签字、盖章</w:t>
      </w:r>
      <w:r>
        <w:rPr>
          <w:rFonts w:hint="eastAsia" w:hAnsi="Calibri"/>
          <w:bCs/>
          <w:color w:val="000000" w:themeColor="text1"/>
          <w:sz w:val="21"/>
          <w:szCs w:val="21"/>
          <w:u w:val="single"/>
          <w14:textFill>
            <w14:solidFill>
              <w14:schemeClr w14:val="tx1"/>
            </w14:solidFill>
          </w14:textFill>
        </w:rPr>
        <w:t xml:space="preserve"> </w:t>
      </w:r>
      <w:r>
        <w:rPr>
          <w:rFonts w:hint="eastAsia" w:hAnsi="Calibri"/>
          <w:bCs/>
          <w:color w:val="000000" w:themeColor="text1"/>
          <w:sz w:val="21"/>
          <w:szCs w:val="21"/>
          <w14:textFill>
            <w14:solidFill>
              <w14:schemeClr w14:val="tx1"/>
            </w14:solidFill>
          </w14:textFill>
        </w:rPr>
        <w:t>生效。</w:t>
      </w:r>
    </w:p>
    <w:p>
      <w:pPr>
        <w:keepNext/>
        <w:keepLines/>
        <w:spacing w:line="360" w:lineRule="auto"/>
        <w:ind w:firstLine="420" w:firstLineChars="200"/>
        <w:outlineLvl w:val="3"/>
        <w:rPr>
          <w:rFonts w:hAnsi="Arial"/>
          <w:b/>
          <w:color w:val="000000" w:themeColor="text1"/>
          <w:sz w:val="21"/>
          <w:szCs w:val="21"/>
          <w14:textFill>
            <w14:solidFill>
              <w14:schemeClr w14:val="tx1"/>
            </w14:solidFill>
          </w14:textFill>
        </w:rPr>
      </w:pPr>
      <w:bookmarkStart w:id="73" w:name="_Toc500174767"/>
      <w:bookmarkStart w:id="74" w:name="_Toc503196157"/>
      <w:bookmarkStart w:id="75" w:name="_Toc17624"/>
      <w:r>
        <w:rPr>
          <w:rFonts w:hint="eastAsia" w:hAnsi="Arial"/>
          <w:bCs/>
          <w:color w:val="000000" w:themeColor="text1"/>
          <w:sz w:val="21"/>
          <w:szCs w:val="21"/>
          <w14:textFill>
            <w14:solidFill>
              <w14:schemeClr w14:val="tx1"/>
            </w14:solidFill>
          </w14:textFill>
        </w:rPr>
        <w:t>十三、合同份数</w:t>
      </w:r>
      <w:bookmarkEnd w:id="73"/>
      <w:bookmarkEnd w:id="74"/>
      <w:bookmarkEnd w:id="75"/>
    </w:p>
    <w:p>
      <w:pPr>
        <w:adjustRightInd w:val="0"/>
        <w:snapToGrid w:val="0"/>
        <w:spacing w:line="520" w:lineRule="exact"/>
        <w:ind w:firstLine="420"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hAnsi="Calibri"/>
          <w:bCs/>
          <w:color w:val="000000" w:themeColor="text1"/>
          <w:sz w:val="21"/>
          <w:szCs w:val="22"/>
          <w14:textFill>
            <w14:solidFill>
              <w14:schemeClr w14:val="tx1"/>
            </w14:solidFill>
          </w14:textFill>
        </w:rPr>
        <w:t>本合同一式</w:t>
      </w:r>
      <w:r>
        <w:rPr>
          <w:rFonts w:hint="eastAsia" w:hAnsi="Calibri"/>
          <w:bCs/>
          <w:color w:val="000000" w:themeColor="text1"/>
          <w:sz w:val="21"/>
          <w:szCs w:val="22"/>
          <w:u w:val="single"/>
          <w14:textFill>
            <w14:solidFill>
              <w14:schemeClr w14:val="tx1"/>
            </w14:solidFill>
          </w14:textFill>
        </w:rPr>
        <w:t xml:space="preserve">     </w:t>
      </w:r>
      <w:r>
        <w:rPr>
          <w:rFonts w:hint="eastAsia" w:hAnsi="Calibri"/>
          <w:bCs/>
          <w:color w:val="000000" w:themeColor="text1"/>
          <w:sz w:val="21"/>
          <w:szCs w:val="22"/>
          <w14:textFill>
            <w14:solidFill>
              <w14:schemeClr w14:val="tx1"/>
            </w14:solidFill>
          </w14:textFill>
        </w:rPr>
        <w:t>份，均具有同等法律效力，发包人执</w:t>
      </w:r>
      <w:r>
        <w:rPr>
          <w:rFonts w:hint="eastAsia" w:hAnsi="Calibri"/>
          <w:bCs/>
          <w:color w:val="000000" w:themeColor="text1"/>
          <w:sz w:val="21"/>
          <w:szCs w:val="22"/>
          <w:u w:val="single"/>
          <w14:textFill>
            <w14:solidFill>
              <w14:schemeClr w14:val="tx1"/>
            </w14:solidFill>
          </w14:textFill>
        </w:rPr>
        <w:t xml:space="preserve">    </w:t>
      </w:r>
      <w:r>
        <w:rPr>
          <w:rFonts w:hint="eastAsia" w:hAnsi="Calibri"/>
          <w:bCs/>
          <w:color w:val="000000" w:themeColor="text1"/>
          <w:sz w:val="21"/>
          <w:szCs w:val="22"/>
          <w14:textFill>
            <w14:solidFill>
              <w14:schemeClr w14:val="tx1"/>
            </w14:solidFill>
          </w14:textFill>
        </w:rPr>
        <w:t>份，承包人执</w:t>
      </w:r>
      <w:r>
        <w:rPr>
          <w:rFonts w:hint="eastAsia" w:hAnsi="Calibri"/>
          <w:bCs/>
          <w:color w:val="000000" w:themeColor="text1"/>
          <w:sz w:val="21"/>
          <w:szCs w:val="22"/>
          <w:u w:val="single"/>
          <w14:textFill>
            <w14:solidFill>
              <w14:schemeClr w14:val="tx1"/>
            </w14:solidFill>
          </w14:textFill>
        </w:rPr>
        <w:t xml:space="preserve">    </w:t>
      </w:r>
      <w:r>
        <w:rPr>
          <w:rFonts w:hint="eastAsia" w:hAnsi="Calibri"/>
          <w:bCs/>
          <w:color w:val="000000" w:themeColor="text1"/>
          <w:sz w:val="21"/>
          <w:szCs w:val="22"/>
          <w14:textFill>
            <w14:solidFill>
              <w14:schemeClr w14:val="tx1"/>
            </w14:solidFill>
          </w14:textFill>
        </w:rPr>
        <w:t>份。</w:t>
      </w:r>
    </w:p>
    <w:p>
      <w:pPr>
        <w:spacing w:line="360" w:lineRule="auto"/>
        <w:ind w:firstLine="200"/>
        <w:rPr>
          <w:rFonts w:hAnsi="Calibri"/>
          <w:bCs/>
          <w:color w:val="000000" w:themeColor="text1"/>
          <w:sz w:val="21"/>
          <w:szCs w:val="21"/>
          <w14:textFill>
            <w14:solidFill>
              <w14:schemeClr w14:val="tx1"/>
            </w14:solidFill>
          </w14:textFill>
        </w:rPr>
      </w:pPr>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发包人：  (公章)                      承包人：  (公章)</w:t>
      </w:r>
    </w:p>
    <w:p>
      <w:pPr>
        <w:spacing w:line="360" w:lineRule="auto"/>
        <w:ind w:firstLine="420" w:firstLineChars="200"/>
        <w:rPr>
          <w:rFonts w:hAnsi="Calibri"/>
          <w:color w:val="000000" w:themeColor="text1"/>
          <w:sz w:val="21"/>
          <w:szCs w:val="21"/>
          <w:u w:val="single"/>
          <w14:textFill>
            <w14:solidFill>
              <w14:schemeClr w14:val="tx1"/>
            </w14:solidFill>
          </w14:textFill>
        </w:rPr>
      </w:pPr>
      <w:r>
        <w:rPr>
          <w:rFonts w:hint="eastAsia" w:hAnsi="Calibri"/>
          <w:color w:val="000000" w:themeColor="text1"/>
          <w:sz w:val="21"/>
          <w:szCs w:val="21"/>
          <w14:textFill>
            <w14:solidFill>
              <w14:schemeClr w14:val="tx1"/>
            </w14:solidFill>
          </w14:textFill>
        </w:rPr>
        <w:t xml:space="preserve">                                 </w:t>
      </w:r>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法定代表人或其委托代理人：            法定代表人或其委托代理人：</w:t>
      </w:r>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（签字）                             （签字）</w:t>
      </w:r>
    </w:p>
    <w:p>
      <w:pPr>
        <w:spacing w:line="360" w:lineRule="auto"/>
        <w:ind w:firstLine="420" w:firstLineChars="200"/>
        <w:rPr>
          <w:rFonts w:hAnsi="Calibri"/>
          <w:color w:val="000000" w:themeColor="text1"/>
          <w:sz w:val="21"/>
          <w:szCs w:val="21"/>
          <w:u w:val="single"/>
          <w14:textFill>
            <w14:solidFill>
              <w14:schemeClr w14:val="tx1"/>
            </w14:solidFill>
          </w14:textFill>
        </w:rPr>
      </w:pPr>
    </w:p>
    <w:p>
      <w:pPr>
        <w:tabs>
          <w:tab w:val="left" w:pos="4410"/>
        </w:tabs>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组织机构代码：</w:t>
      </w:r>
      <w:r>
        <w:rPr>
          <w:rFonts w:hint="eastAsia" w:hAnsi="Calibri"/>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14:textFill>
            <w14:solidFill>
              <w14:schemeClr w14:val="tx1"/>
            </w14:solidFill>
          </w14:textFill>
        </w:rPr>
        <w:t xml:space="preserve">             组织机构代码：</w:t>
      </w:r>
      <w:r>
        <w:rPr>
          <w:rFonts w:hint="eastAsia" w:hAnsi="Calibri"/>
          <w:color w:val="000000" w:themeColor="text1"/>
          <w:sz w:val="21"/>
          <w:szCs w:val="21"/>
          <w:u w:val="single"/>
          <w14:textFill>
            <w14:solidFill>
              <w14:schemeClr w14:val="tx1"/>
            </w14:solidFill>
          </w14:textFill>
        </w:rPr>
        <w:t xml:space="preserve">            </w:t>
      </w:r>
      <w:r>
        <w:rPr>
          <w:rFonts w:hint="eastAsia" w:hAnsi="Calibri"/>
          <w:color w:val="000000" w:themeColor="text1"/>
          <w:sz w:val="21"/>
          <w:szCs w:val="21"/>
          <w14:textFill>
            <w14:solidFill>
              <w14:schemeClr w14:val="tx1"/>
            </w14:solidFill>
          </w14:textFill>
        </w:rPr>
        <w:t xml:space="preserve"> </w:t>
      </w:r>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地  址：</w:t>
      </w:r>
      <w:r>
        <w:rPr>
          <w:rFonts w:hint="eastAsia" w:hAnsi="Calibri"/>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14:textFill>
            <w14:solidFill>
              <w14:schemeClr w14:val="tx1"/>
            </w14:solidFill>
          </w14:textFill>
        </w:rPr>
        <w:t xml:space="preserve">             地  址：</w:t>
      </w:r>
      <w:r>
        <w:rPr>
          <w:rFonts w:hint="eastAsia" w:hAnsi="Calibri"/>
          <w:color w:val="000000" w:themeColor="text1"/>
          <w:sz w:val="21"/>
          <w:szCs w:val="21"/>
          <w:u w:val="single"/>
          <w14:textFill>
            <w14:solidFill>
              <w14:schemeClr w14:val="tx1"/>
            </w14:solidFill>
          </w14:textFill>
        </w:rPr>
        <w:t xml:space="preserve">                  </w:t>
      </w:r>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邮政编码：</w:t>
      </w:r>
      <w:r>
        <w:rPr>
          <w:rFonts w:hint="eastAsia" w:hAnsi="Calibri"/>
          <w:color w:val="000000" w:themeColor="text1"/>
          <w:sz w:val="21"/>
          <w:szCs w:val="21"/>
          <w:u w:val="single"/>
          <w14:textFill>
            <w14:solidFill>
              <w14:schemeClr w14:val="tx1"/>
            </w14:solidFill>
          </w14:textFill>
        </w:rPr>
        <w:t xml:space="preserve">              </w:t>
      </w:r>
      <w:r>
        <w:rPr>
          <w:rFonts w:hint="eastAsia" w:hAnsi="Calibri"/>
          <w:color w:val="000000" w:themeColor="text1"/>
          <w:sz w:val="21"/>
          <w:szCs w:val="21"/>
          <w14:textFill>
            <w14:solidFill>
              <w14:schemeClr w14:val="tx1"/>
            </w14:solidFill>
          </w14:textFill>
        </w:rPr>
        <w:t xml:space="preserve">            邮政编码：</w:t>
      </w:r>
      <w:r>
        <w:rPr>
          <w:rFonts w:hint="eastAsia" w:hAnsi="Calibri"/>
          <w:color w:val="000000" w:themeColor="text1"/>
          <w:sz w:val="21"/>
          <w:szCs w:val="21"/>
          <w:u w:val="single"/>
          <w14:textFill>
            <w14:solidFill>
              <w14:schemeClr w14:val="tx1"/>
            </w14:solidFill>
          </w14:textFill>
        </w:rPr>
        <w:t xml:space="preserve">                  </w:t>
      </w:r>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法定代表人：</w:t>
      </w:r>
      <w:r>
        <w:rPr>
          <w:rFonts w:hint="eastAsia" w:hAnsi="Calibri"/>
          <w:color w:val="000000" w:themeColor="text1"/>
          <w:sz w:val="21"/>
          <w:szCs w:val="21"/>
          <w:u w:val="single"/>
          <w14:textFill>
            <w14:solidFill>
              <w14:schemeClr w14:val="tx1"/>
            </w14:solidFill>
          </w14:textFill>
        </w:rPr>
        <w:t xml:space="preserve">           </w:t>
      </w:r>
      <w:r>
        <w:rPr>
          <w:rFonts w:hint="eastAsia" w:hAnsi="Calibri"/>
          <w:color w:val="000000" w:themeColor="text1"/>
          <w:sz w:val="21"/>
          <w:szCs w:val="21"/>
          <w14:textFill>
            <w14:solidFill>
              <w14:schemeClr w14:val="tx1"/>
            </w14:solidFill>
          </w14:textFill>
        </w:rPr>
        <w:t xml:space="preserve">           法定代表人：</w:t>
      </w:r>
      <w:r>
        <w:rPr>
          <w:rFonts w:hint="eastAsia" w:hAnsi="Calibri"/>
          <w:color w:val="000000" w:themeColor="text1"/>
          <w:sz w:val="21"/>
          <w:szCs w:val="21"/>
          <w:u w:val="single"/>
          <w14:textFill>
            <w14:solidFill>
              <w14:schemeClr w14:val="tx1"/>
            </w14:solidFill>
          </w14:textFill>
        </w:rPr>
        <w:t xml:space="preserve">             </w:t>
      </w:r>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委托代理人：</w:t>
      </w:r>
      <w:r>
        <w:rPr>
          <w:rFonts w:hint="eastAsia" w:hAnsi="Calibri"/>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14:textFill>
            <w14:solidFill>
              <w14:schemeClr w14:val="tx1"/>
            </w14:solidFill>
          </w14:textFill>
        </w:rPr>
        <w:t xml:space="preserve">           委托代理人：</w:t>
      </w:r>
      <w:r>
        <w:rPr>
          <w:rFonts w:hint="eastAsia" w:hAnsi="Calibri"/>
          <w:color w:val="000000" w:themeColor="text1"/>
          <w:sz w:val="21"/>
          <w:szCs w:val="21"/>
          <w:u w:val="single"/>
          <w14:textFill>
            <w14:solidFill>
              <w14:schemeClr w14:val="tx1"/>
            </w14:solidFill>
          </w14:textFill>
        </w:rPr>
        <w:t xml:space="preserve">                 </w:t>
      </w:r>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电  话：</w:t>
      </w:r>
      <w:r>
        <w:rPr>
          <w:rFonts w:hint="eastAsia" w:hAnsi="Calibri"/>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14:textFill>
            <w14:solidFill>
              <w14:schemeClr w14:val="tx1"/>
            </w14:solidFill>
          </w14:textFill>
        </w:rPr>
        <w:t xml:space="preserve">           电  话：</w:t>
      </w:r>
      <w:r>
        <w:rPr>
          <w:rFonts w:hint="eastAsia" w:hAnsi="Calibri"/>
          <w:color w:val="000000" w:themeColor="text1"/>
          <w:sz w:val="21"/>
          <w:szCs w:val="21"/>
          <w:u w:val="single"/>
          <w14:textFill>
            <w14:solidFill>
              <w14:schemeClr w14:val="tx1"/>
            </w14:solidFill>
          </w14:textFill>
        </w:rPr>
        <w:t xml:space="preserve">                     </w:t>
      </w:r>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传  真：</w:t>
      </w:r>
      <w:r>
        <w:rPr>
          <w:rFonts w:hint="eastAsia" w:hAnsi="Calibri"/>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14:textFill>
            <w14:solidFill>
              <w14:schemeClr w14:val="tx1"/>
            </w14:solidFill>
          </w14:textFill>
        </w:rPr>
        <w:t xml:space="preserve">           传  真：</w:t>
      </w:r>
      <w:r>
        <w:rPr>
          <w:rFonts w:hint="eastAsia" w:hAnsi="Calibri"/>
          <w:color w:val="000000" w:themeColor="text1"/>
          <w:sz w:val="21"/>
          <w:szCs w:val="21"/>
          <w:u w:val="single"/>
          <w14:textFill>
            <w14:solidFill>
              <w14:schemeClr w14:val="tx1"/>
            </w14:solidFill>
          </w14:textFill>
        </w:rPr>
        <w:t xml:space="preserve">                   </w:t>
      </w:r>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电子信箱：</w:t>
      </w:r>
      <w:r>
        <w:rPr>
          <w:rFonts w:hint="eastAsia" w:hAnsi="Calibri"/>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14:textFill>
            <w14:solidFill>
              <w14:schemeClr w14:val="tx1"/>
            </w14:solidFill>
          </w14:textFill>
        </w:rPr>
        <w:t xml:space="preserve">           电子信箱：</w:t>
      </w:r>
      <w:r>
        <w:rPr>
          <w:rFonts w:hint="eastAsia" w:hAnsi="Calibri"/>
          <w:color w:val="000000" w:themeColor="text1"/>
          <w:sz w:val="21"/>
          <w:szCs w:val="21"/>
          <w:u w:val="single"/>
          <w14:textFill>
            <w14:solidFill>
              <w14:schemeClr w14:val="tx1"/>
            </w14:solidFill>
          </w14:textFill>
        </w:rPr>
        <w:t xml:space="preserve">                   </w:t>
      </w:r>
    </w:p>
    <w:p>
      <w:pPr>
        <w:spacing w:line="360" w:lineRule="auto"/>
        <w:ind w:firstLine="420" w:firstLineChars="200"/>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开户银行：</w:t>
      </w:r>
      <w:r>
        <w:rPr>
          <w:rFonts w:hint="eastAsia" w:hAnsi="Calibri"/>
          <w:color w:val="000000" w:themeColor="text1"/>
          <w:sz w:val="21"/>
          <w:szCs w:val="21"/>
          <w:u w:val="single"/>
          <w14:textFill>
            <w14:solidFill>
              <w14:schemeClr w14:val="tx1"/>
            </w14:solidFill>
          </w14:textFill>
        </w:rPr>
        <w:t xml:space="preserve">                 </w:t>
      </w:r>
      <w:r>
        <w:rPr>
          <w:rFonts w:hint="eastAsia" w:hAnsi="Calibri"/>
          <w:color w:val="000000" w:themeColor="text1"/>
          <w:sz w:val="21"/>
          <w:szCs w:val="21"/>
          <w14:textFill>
            <w14:solidFill>
              <w14:schemeClr w14:val="tx1"/>
            </w14:solidFill>
          </w14:textFill>
        </w:rPr>
        <w:t xml:space="preserve">           开户银行：</w:t>
      </w:r>
      <w:r>
        <w:rPr>
          <w:rFonts w:hint="eastAsia" w:hAnsi="Calibri"/>
          <w:color w:val="000000" w:themeColor="text1"/>
          <w:sz w:val="21"/>
          <w:szCs w:val="21"/>
          <w:u w:val="single"/>
          <w14:textFill>
            <w14:solidFill>
              <w14:schemeClr w14:val="tx1"/>
            </w14:solidFill>
          </w14:textFill>
        </w:rPr>
        <w:t xml:space="preserve">                   </w:t>
      </w:r>
    </w:p>
    <w:p>
      <w:pPr>
        <w:spacing w:line="360" w:lineRule="auto"/>
        <w:ind w:firstLine="420" w:firstLineChars="200"/>
        <w:rPr>
          <w:rFonts w:hAnsi="Calibri"/>
          <w:color w:val="000000" w:themeColor="text1"/>
          <w:sz w:val="21"/>
          <w:szCs w:val="21"/>
          <w:u w:val="single"/>
          <w14:textFill>
            <w14:solidFill>
              <w14:schemeClr w14:val="tx1"/>
            </w14:solidFill>
          </w14:textFill>
        </w:rPr>
      </w:pPr>
      <w:r>
        <w:rPr>
          <w:rFonts w:hint="eastAsia" w:hAnsi="Calibri"/>
          <w:color w:val="000000" w:themeColor="text1"/>
          <w:sz w:val="21"/>
          <w:szCs w:val="21"/>
          <w14:textFill>
            <w14:solidFill>
              <w14:schemeClr w14:val="tx1"/>
            </w14:solidFill>
          </w14:textFill>
        </w:rPr>
        <w:t>账  号：</w:t>
      </w:r>
      <w:r>
        <w:rPr>
          <w:rFonts w:hint="eastAsia" w:hAnsi="Calibri"/>
          <w:color w:val="000000" w:themeColor="text1"/>
          <w:sz w:val="21"/>
          <w:szCs w:val="21"/>
          <w:u w:val="single"/>
          <w14:textFill>
            <w14:solidFill>
              <w14:schemeClr w14:val="tx1"/>
            </w14:solidFill>
          </w14:textFill>
        </w:rPr>
        <w:t xml:space="preserve">                 </w:t>
      </w:r>
      <w:r>
        <w:rPr>
          <w:rFonts w:hint="eastAsia" w:hAnsi="Calibri"/>
          <w:color w:val="000000" w:themeColor="text1"/>
          <w:sz w:val="21"/>
          <w:szCs w:val="21"/>
          <w14:textFill>
            <w14:solidFill>
              <w14:schemeClr w14:val="tx1"/>
            </w14:solidFill>
          </w14:textFill>
        </w:rPr>
        <w:t xml:space="preserve">           账  号：</w:t>
      </w:r>
      <w:r>
        <w:rPr>
          <w:rFonts w:hint="eastAsia" w:hAnsi="Calibri"/>
          <w:color w:val="000000" w:themeColor="text1"/>
          <w:sz w:val="21"/>
          <w:szCs w:val="21"/>
          <w:u w:val="single"/>
          <w14:textFill>
            <w14:solidFill>
              <w14:schemeClr w14:val="tx1"/>
            </w14:solidFill>
          </w14:textFill>
        </w:rPr>
        <w:t xml:space="preserve">                     </w:t>
      </w:r>
    </w:p>
    <w:p>
      <w:pPr>
        <w:spacing w:line="440" w:lineRule="exact"/>
        <w:ind w:firstLine="4410" w:firstLineChars="2100"/>
        <w:rPr>
          <w:rFonts w:hAnsi="Calibri"/>
          <w:color w:val="000000" w:themeColor="text1"/>
          <w:sz w:val="21"/>
          <w:szCs w:val="21"/>
          <w14:textFill>
            <w14:solidFill>
              <w14:schemeClr w14:val="tx1"/>
            </w14:solidFill>
          </w14:textFill>
        </w:rPr>
      </w:pP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w:t>
      </w:r>
    </w:p>
    <w:p>
      <w:pPr>
        <w:rPr>
          <w:color w:val="000000" w:themeColor="text1"/>
          <w:sz w:val="21"/>
          <w:szCs w:val="21"/>
          <w14:textFill>
            <w14:solidFill>
              <w14:schemeClr w14:val="tx1"/>
            </w14:solidFill>
          </w14:textFill>
        </w:rPr>
      </w:pPr>
    </w:p>
    <w:p>
      <w:pPr>
        <w:rPr>
          <w:color w:val="000000" w:themeColor="text1"/>
          <w:sz w:val="21"/>
          <w:szCs w:val="21"/>
          <w14:textFill>
            <w14:solidFill>
              <w14:schemeClr w14:val="tx1"/>
            </w14:solidFill>
          </w14:textFill>
        </w:rPr>
      </w:pPr>
    </w:p>
    <w:p>
      <w:pPr>
        <w:rPr>
          <w:color w:val="000000" w:themeColor="text1"/>
          <w:sz w:val="21"/>
          <w:szCs w:val="21"/>
          <w14:textFill>
            <w14:solidFill>
              <w14:schemeClr w14:val="tx1"/>
            </w14:solidFill>
          </w14:textFill>
        </w:rPr>
      </w:pPr>
    </w:p>
    <w:p>
      <w:pPr>
        <w:rPr>
          <w:color w:val="000000" w:themeColor="text1"/>
          <w:sz w:val="21"/>
          <w:szCs w:val="21"/>
          <w14:textFill>
            <w14:solidFill>
              <w14:schemeClr w14:val="tx1"/>
            </w14:solidFill>
          </w14:textFill>
        </w:rPr>
      </w:pPr>
    </w:p>
    <w:p>
      <w:pPr>
        <w:rPr>
          <w:color w:val="000000" w:themeColor="text1"/>
          <w:sz w:val="21"/>
          <w:szCs w:val="21"/>
          <w14:textFill>
            <w14:solidFill>
              <w14:schemeClr w14:val="tx1"/>
            </w14:solidFill>
          </w14:textFill>
        </w:rPr>
      </w:pPr>
    </w:p>
    <w:p>
      <w:pPr>
        <w:rPr>
          <w:color w:val="000000" w:themeColor="text1"/>
          <w:sz w:val="21"/>
          <w:szCs w:val="21"/>
          <w14:textFill>
            <w14:solidFill>
              <w14:schemeClr w14:val="tx1"/>
            </w14:solidFill>
          </w14:textFill>
        </w:rPr>
      </w:pPr>
    </w:p>
    <w:p>
      <w:pPr>
        <w:rPr>
          <w:color w:val="000000" w:themeColor="text1"/>
          <w:sz w:val="21"/>
          <w:szCs w:val="21"/>
          <w14:textFill>
            <w14:solidFill>
              <w14:schemeClr w14:val="tx1"/>
            </w14:solidFill>
          </w14:textFill>
        </w:rPr>
      </w:pPr>
    </w:p>
    <w:p>
      <w:pPr>
        <w:rPr>
          <w:color w:val="000000" w:themeColor="text1"/>
          <w:sz w:val="21"/>
          <w:szCs w:val="21"/>
          <w14:textFill>
            <w14:solidFill>
              <w14:schemeClr w14:val="tx1"/>
            </w14:solidFill>
          </w14:textFill>
        </w:rPr>
      </w:pPr>
    </w:p>
    <w:p>
      <w:pPr>
        <w:rPr>
          <w:color w:val="000000" w:themeColor="text1"/>
          <w:sz w:val="21"/>
          <w:szCs w:val="21"/>
          <w14:textFill>
            <w14:solidFill>
              <w14:schemeClr w14:val="tx1"/>
            </w14:solidFill>
          </w14:textFill>
        </w:rPr>
      </w:pPr>
    </w:p>
    <w:p>
      <w:pPr>
        <w:rPr>
          <w:color w:val="000000" w:themeColor="text1"/>
          <w:sz w:val="21"/>
          <w:szCs w:val="21"/>
          <w14:textFill>
            <w14:solidFill>
              <w14:schemeClr w14:val="tx1"/>
            </w14:solidFill>
          </w14:textFill>
        </w:rPr>
      </w:pPr>
    </w:p>
    <w:p>
      <w:pPr>
        <w:rPr>
          <w:color w:val="000000" w:themeColor="text1"/>
          <w:sz w:val="21"/>
          <w:szCs w:val="21"/>
          <w14:textFill>
            <w14:solidFill>
              <w14:schemeClr w14:val="tx1"/>
            </w14:solidFill>
          </w14:textFill>
        </w:rPr>
      </w:pPr>
    </w:p>
    <w:p>
      <w:pPr>
        <w:rPr>
          <w:rFonts w:hint="eastAsia" w:cs="楷体_GB2312"/>
          <w:b/>
          <w:color w:val="000000" w:themeColor="text1"/>
          <w:sz w:val="21"/>
          <w:szCs w:val="21"/>
          <w14:textFill>
            <w14:solidFill>
              <w14:schemeClr w14:val="tx1"/>
            </w14:solidFill>
          </w14:textFill>
        </w:rPr>
      </w:pPr>
      <w:r>
        <w:rPr>
          <w:rFonts w:hint="eastAsia" w:cs="楷体_GB2312"/>
          <w:b/>
          <w:color w:val="000000" w:themeColor="text1"/>
          <w:sz w:val="21"/>
          <w:szCs w:val="21"/>
          <w14:textFill>
            <w14:solidFill>
              <w14:schemeClr w14:val="tx1"/>
            </w14:solidFill>
          </w14:textFill>
        </w:rPr>
        <w:br w:type="page"/>
      </w:r>
    </w:p>
    <w:p>
      <w:pPr>
        <w:jc w:val="center"/>
        <w:outlineLvl w:val="1"/>
        <w:rPr>
          <w:rFonts w:cs="楷体_GB2312"/>
          <w:b/>
          <w:color w:val="000000" w:themeColor="text1"/>
          <w:sz w:val="21"/>
          <w:szCs w:val="21"/>
          <w14:textFill>
            <w14:solidFill>
              <w14:schemeClr w14:val="tx1"/>
            </w14:solidFill>
          </w14:textFill>
        </w:rPr>
      </w:pPr>
      <w:r>
        <w:rPr>
          <w:rFonts w:hint="eastAsia" w:cs="楷体_GB2312"/>
          <w:b/>
          <w:color w:val="000000" w:themeColor="text1"/>
          <w:sz w:val="21"/>
          <w:szCs w:val="21"/>
          <w14:textFill>
            <w14:solidFill>
              <w14:schemeClr w14:val="tx1"/>
            </w14:solidFill>
          </w14:textFill>
        </w:rPr>
        <w:t>通用条款</w:t>
      </w:r>
    </w:p>
    <w:p>
      <w:pPr>
        <w:spacing w:line="440" w:lineRule="exact"/>
        <w:ind w:firstLine="422" w:firstLineChars="200"/>
        <w:rPr>
          <w:rFonts w:ascii="Calibri" w:hAnsi="Calibri"/>
          <w:b/>
          <w:color w:val="000000" w:themeColor="text1"/>
          <w:sz w:val="21"/>
          <w:szCs w:val="22"/>
          <w14:textFill>
            <w14:solidFill>
              <w14:schemeClr w14:val="tx1"/>
            </w14:solidFill>
          </w14:textFill>
        </w:rPr>
      </w:pPr>
      <w:r>
        <w:rPr>
          <w:rFonts w:hint="eastAsia" w:ascii="Calibri" w:hAnsi="Calibri"/>
          <w:b/>
          <w:color w:val="000000" w:themeColor="text1"/>
          <w:sz w:val="21"/>
          <w:szCs w:val="22"/>
          <w14:textFill>
            <w14:solidFill>
              <w14:schemeClr w14:val="tx1"/>
            </w14:solidFill>
          </w14:textFill>
        </w:rPr>
        <w:t>使用住房城乡建设部、国家工商行政管理局2017年9月22日联合印发的《建设工程施工合同（GF-2017-0201示范文本）》第二部分通用条款。</w:t>
      </w:r>
    </w:p>
    <w:p>
      <w:pPr>
        <w:spacing w:line="440" w:lineRule="exact"/>
        <w:rPr>
          <w:color w:val="000000" w:themeColor="text1"/>
          <w:sz w:val="21"/>
          <w:szCs w:val="21"/>
          <w:u w:val="single"/>
          <w14:textFill>
            <w14:solidFill>
              <w14:schemeClr w14:val="tx1"/>
            </w14:solidFill>
          </w14:textFill>
        </w:rPr>
      </w:pPr>
    </w:p>
    <w:p>
      <w:pPr>
        <w:jc w:val="center"/>
        <w:outlineLvl w:val="1"/>
        <w:rPr>
          <w:rFonts w:cs="楷体_GB2312"/>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 xml:space="preserve">  </w:t>
      </w:r>
      <w:r>
        <w:rPr>
          <w:rFonts w:hint="eastAsia" w:cs="楷体_GB2312"/>
          <w:b/>
          <w:color w:val="000000" w:themeColor="text1"/>
          <w:sz w:val="21"/>
          <w:szCs w:val="21"/>
          <w14:textFill>
            <w14:solidFill>
              <w14:schemeClr w14:val="tx1"/>
            </w14:solidFill>
          </w14:textFill>
        </w:rPr>
        <w:t>专用合同条款</w:t>
      </w:r>
    </w:p>
    <w:p>
      <w:pPr>
        <w:adjustRightInd w:val="0"/>
        <w:snapToGrid w:val="0"/>
        <w:spacing w:line="560" w:lineRule="exact"/>
        <w:outlineLvl w:val="2"/>
        <w:rPr>
          <w:rFonts w:cs="楷体_GB2312"/>
          <w:b/>
          <w:bCs/>
          <w:color w:val="000000" w:themeColor="text1"/>
          <w:sz w:val="21"/>
          <w:szCs w:val="21"/>
          <w14:textFill>
            <w14:solidFill>
              <w14:schemeClr w14:val="tx1"/>
            </w14:solidFill>
          </w14:textFill>
        </w:rPr>
      </w:pPr>
      <w:bookmarkStart w:id="76" w:name="_Toc351203633"/>
      <w:r>
        <w:rPr>
          <w:rFonts w:hint="eastAsia" w:cs="楷体_GB2312"/>
          <w:b/>
          <w:bCs/>
          <w:color w:val="000000" w:themeColor="text1"/>
          <w:sz w:val="21"/>
          <w:szCs w:val="21"/>
          <w14:textFill>
            <w14:solidFill>
              <w14:schemeClr w14:val="tx1"/>
            </w14:solidFill>
          </w14:textFill>
        </w:rPr>
        <w:t>1</w:t>
      </w:r>
      <w:bookmarkStart w:id="77" w:name="_Toc297120456"/>
      <w:bookmarkStart w:id="78" w:name="_Toc296944495"/>
      <w:bookmarkStart w:id="79" w:name="_Toc296346657"/>
      <w:bookmarkStart w:id="80" w:name="_Toc296503156"/>
      <w:bookmarkStart w:id="81" w:name="_Toc296347155"/>
      <w:bookmarkStart w:id="82" w:name="_Toc292559866"/>
      <w:bookmarkStart w:id="83" w:name="_Toc296890984"/>
      <w:bookmarkStart w:id="84" w:name="_Toc292559361"/>
      <w:bookmarkStart w:id="85" w:name="_Toc297048342"/>
      <w:bookmarkStart w:id="86" w:name="_Toc296891196"/>
      <w:r>
        <w:rPr>
          <w:rFonts w:hint="eastAsia" w:cs="楷体_GB2312"/>
          <w:b/>
          <w:bCs/>
          <w:color w:val="000000" w:themeColor="text1"/>
          <w:sz w:val="21"/>
          <w:szCs w:val="21"/>
          <w14:textFill>
            <w14:solidFill>
              <w14:schemeClr w14:val="tx1"/>
            </w14:solidFill>
          </w14:textFill>
        </w:rPr>
        <w:t>. 一般约定</w:t>
      </w:r>
      <w:bookmarkEnd w:id="76"/>
    </w:p>
    <w:bookmarkEnd w:id="77"/>
    <w:bookmarkEnd w:id="78"/>
    <w:bookmarkEnd w:id="79"/>
    <w:bookmarkEnd w:id="80"/>
    <w:bookmarkEnd w:id="81"/>
    <w:bookmarkEnd w:id="82"/>
    <w:bookmarkEnd w:id="83"/>
    <w:bookmarkEnd w:id="84"/>
    <w:bookmarkEnd w:id="85"/>
    <w:bookmarkEnd w:id="86"/>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1.1 词语定义</w:t>
      </w:r>
    </w:p>
    <w:p>
      <w:pPr>
        <w:adjustRightInd w:val="0"/>
        <w:snapToGrid w:val="0"/>
        <w:spacing w:line="560" w:lineRule="exact"/>
        <w:ind w:firstLine="422" w:firstLineChars="200"/>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1.1.1合同</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1.1.1.10其他合同文件包括：</w:t>
      </w:r>
      <w:r>
        <w:rPr>
          <w:rFonts w:hint="eastAsia"/>
          <w:color w:val="000000" w:themeColor="text1"/>
          <w:sz w:val="21"/>
          <w:szCs w:val="21"/>
          <w:u w:val="single"/>
          <w14:textFill>
            <w14:solidFill>
              <w14:schemeClr w14:val="tx1"/>
            </w14:solidFill>
          </w14:textFill>
        </w:rPr>
        <w:t>合同履行过程中双方书面确认的对合同内容有实质性影响的会议纪要、工程签证、工程变更、往来函件、洽商记录、备忘录等</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2" w:firstLineChars="200"/>
        <w:rPr>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1.1.2 合同当事人及其他相关方</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1.1.2.4监理人：</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名    称：</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资质类别和等级：</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联系电话：</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电子信箱：</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通信地址：</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            </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1.1.2.5 设计人：</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名    称：</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资质类别和等级：</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联系电话：</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            </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电子信箱：</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通信地址：</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            </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2" w:firstLineChars="200"/>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1.1.3 工程和设备</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1.1.3.7 作为施工现场组成部分的其他场所包括：</w:t>
      </w:r>
      <w:r>
        <w:rPr>
          <w:rFonts w:hint="eastAsia"/>
          <w:color w:val="000000" w:themeColor="text1"/>
          <w:sz w:val="21"/>
          <w:szCs w:val="21"/>
          <w:u w:val="single"/>
          <w14:textFill>
            <w14:solidFill>
              <w14:schemeClr w14:val="tx1"/>
            </w14:solidFill>
          </w14:textFill>
        </w:rPr>
        <w:t>指用于工程施工的场所，包括永久占地和临时占地</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1.1.3.9 永久占地包括：</w:t>
      </w:r>
      <w:r>
        <w:rPr>
          <w:rFonts w:hint="eastAsia"/>
          <w:color w:val="000000" w:themeColor="text1"/>
          <w:sz w:val="21"/>
          <w:szCs w:val="21"/>
          <w:u w:val="single"/>
          <w14:textFill>
            <w14:solidFill>
              <w14:schemeClr w14:val="tx1"/>
            </w14:solidFill>
          </w14:textFill>
        </w:rPr>
        <w:t xml:space="preserve"> 以本工程《建设用地规划许可证》为准</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1.1.3.10 临时占地包括：</w:t>
      </w:r>
      <w:r>
        <w:rPr>
          <w:rFonts w:hint="eastAsia"/>
          <w:color w:val="000000" w:themeColor="text1"/>
          <w:sz w:val="21"/>
          <w:szCs w:val="21"/>
          <w:u w:val="single"/>
          <w14:textFill>
            <w14:solidFill>
              <w14:schemeClr w14:val="tx1"/>
            </w14:solidFill>
          </w14:textFill>
        </w:rPr>
        <w:t>为实施本合同工程而需要临时占用的土地，临时占地由承包人负责办理手续并承担相应费用，相应费用已含在合同价款中，不再另行支付</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 xml:space="preserve">1.3法律 </w:t>
      </w:r>
    </w:p>
    <w:p>
      <w:pPr>
        <w:adjustRightInd w:val="0"/>
        <w:snapToGrid w:val="0"/>
        <w:spacing w:line="560" w:lineRule="exact"/>
        <w:ind w:left="625" w:leftChars="284"/>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适用于合同的其他规范性文件：</w:t>
      </w:r>
      <w:r>
        <w:rPr>
          <w:rFonts w:hint="eastAsia" w:cs="仿宋_GB2312"/>
          <w:color w:val="000000" w:themeColor="text1"/>
          <w:sz w:val="21"/>
          <w:szCs w:val="21"/>
          <w:u w:val="single"/>
          <w14:textFill>
            <w14:solidFill>
              <w14:schemeClr w14:val="tx1"/>
            </w14:solidFill>
          </w14:textFill>
        </w:rPr>
        <w:t>《中华人民共和国民法典》、《中华人民共和国建筑法》、《中华人民共和国招标投标法》、《建设工程质量管理条例》、《建设工程安全生产条例》等相关国家法律法规、部门规章以及本工程所在地县级以上人民政府及其有关部门颁发的现行规范性文件等</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1.4标准和规范</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s="仿宋_GB2312"/>
          <w:color w:val="000000" w:themeColor="text1"/>
          <w:sz w:val="21"/>
          <w:szCs w:val="21"/>
          <w14:textFill>
            <w14:solidFill>
              <w14:schemeClr w14:val="tx1"/>
            </w14:solidFill>
          </w14:textFill>
        </w:rPr>
        <w:t>1.4.1</w:t>
      </w:r>
      <w:r>
        <w:rPr>
          <w:rFonts w:hint="eastAsia"/>
          <w:color w:val="000000" w:themeColor="text1"/>
          <w:sz w:val="21"/>
          <w:szCs w:val="21"/>
          <w14:textFill>
            <w14:solidFill>
              <w14:schemeClr w14:val="tx1"/>
            </w14:solidFill>
          </w14:textFill>
        </w:rPr>
        <w:t>适用于工程的标准规范包括：</w:t>
      </w:r>
      <w:r>
        <w:rPr>
          <w:rFonts w:hint="eastAsia" w:cs="仿宋_GB2312"/>
          <w:color w:val="000000" w:themeColor="text1"/>
          <w:sz w:val="21"/>
          <w:szCs w:val="21"/>
          <w:u w:val="single"/>
          <w14:textFill>
            <w14:solidFill>
              <w14:schemeClr w14:val="tx1"/>
            </w14:solidFill>
          </w14:textFill>
        </w:rPr>
        <w:t>现行国家、行业及安徽省、阜阳市有关地方标准，以及相应的规范、规程、文件等</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s="仿宋_GB2312"/>
          <w:color w:val="000000" w:themeColor="text1"/>
          <w:sz w:val="21"/>
          <w:szCs w:val="21"/>
          <w14:textFill>
            <w14:solidFill>
              <w14:schemeClr w14:val="tx1"/>
            </w14:solidFill>
          </w14:textFill>
        </w:rPr>
        <w:t xml:space="preserve">1.4.2 </w:t>
      </w:r>
      <w:r>
        <w:rPr>
          <w:rFonts w:hint="eastAsia"/>
          <w:color w:val="000000" w:themeColor="text1"/>
          <w:sz w:val="21"/>
          <w:szCs w:val="21"/>
          <w14:textFill>
            <w14:solidFill>
              <w14:schemeClr w14:val="tx1"/>
            </w14:solidFill>
          </w14:textFill>
        </w:rPr>
        <w:t>发包人提供国外标准、规范的名称：</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发包人提供国外标准、规范的份数：</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发包人提供国外标准、规范的名称：</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s="仿宋_GB2312"/>
          <w:color w:val="000000" w:themeColor="text1"/>
          <w:sz w:val="21"/>
          <w:szCs w:val="21"/>
          <w14:textFill>
            <w14:solidFill>
              <w14:schemeClr w14:val="tx1"/>
            </w14:solidFill>
          </w14:textFill>
        </w:rPr>
        <w:t>1.4.3</w:t>
      </w:r>
      <w:r>
        <w:rPr>
          <w:rFonts w:hint="eastAsia"/>
          <w:color w:val="000000" w:themeColor="text1"/>
          <w:sz w:val="21"/>
          <w:szCs w:val="21"/>
          <w14:textFill>
            <w14:solidFill>
              <w14:schemeClr w14:val="tx1"/>
            </w14:solidFill>
          </w14:textFill>
        </w:rPr>
        <w:t>发包人对工程的技术标准和功能要求的特殊要求：</w:t>
      </w:r>
      <w:r>
        <w:rPr>
          <w:rFonts w:hint="eastAsia" w:cs="仿宋_GB2312"/>
          <w:color w:val="000000" w:themeColor="text1"/>
          <w:sz w:val="21"/>
          <w:szCs w:val="21"/>
          <w:u w:val="single"/>
          <w14:textFill>
            <w14:solidFill>
              <w14:schemeClr w14:val="tx1"/>
            </w14:solidFill>
          </w14:textFill>
        </w:rPr>
        <w:t>本工程所用材料必须满足现行国家、行业及安徽省、阜阳市有关验收规范和技术标准前提下，还应符合招标文件要求</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1.5合同文件的优先顺序</w:t>
      </w:r>
    </w:p>
    <w:p>
      <w:pPr>
        <w:adjustRightInd w:val="0"/>
        <w:snapToGrid w:val="0"/>
        <w:spacing w:line="560" w:lineRule="exact"/>
        <w:ind w:firstLine="420" w:firstLineChars="200"/>
        <w:rPr>
          <w:rFonts w:cs="仿宋_GB2312"/>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合同文件组成及优先顺序为：</w:t>
      </w:r>
      <w:r>
        <w:rPr>
          <w:rFonts w:hint="eastAsia" w:cs="仿宋_GB2312"/>
          <w:color w:val="000000" w:themeColor="text1"/>
          <w:sz w:val="21"/>
          <w:szCs w:val="21"/>
          <w:u w:val="single"/>
          <w14:textFill>
            <w14:solidFill>
              <w14:schemeClr w14:val="tx1"/>
            </w14:solidFill>
          </w14:textFill>
        </w:rPr>
        <w:t xml:space="preserve">（1）本合同协议书 </w:t>
      </w:r>
    </w:p>
    <w:p>
      <w:pPr>
        <w:adjustRightInd w:val="0"/>
        <w:snapToGrid w:val="0"/>
        <w:spacing w:line="560" w:lineRule="exact"/>
        <w:ind w:firstLine="420" w:firstLineChars="200"/>
        <w:rPr>
          <w:rFonts w:cs="仿宋_GB2312"/>
          <w:color w:val="000000" w:themeColor="text1"/>
          <w:sz w:val="21"/>
          <w:szCs w:val="21"/>
          <w:u w:val="single"/>
          <w14:textFill>
            <w14:solidFill>
              <w14:schemeClr w14:val="tx1"/>
            </w14:solidFill>
          </w14:textFill>
        </w:rPr>
      </w:pPr>
      <w:r>
        <w:rPr>
          <w:rFonts w:hint="eastAsia" w:cs="仿宋_GB2312"/>
          <w:color w:val="000000" w:themeColor="text1"/>
          <w:sz w:val="21"/>
          <w:szCs w:val="21"/>
          <w:u w:val="single"/>
          <w14:textFill>
            <w14:solidFill>
              <w14:schemeClr w14:val="tx1"/>
            </w14:solidFill>
          </w14:textFill>
        </w:rPr>
        <w:t xml:space="preserve">（2）中标通知书 </w:t>
      </w:r>
    </w:p>
    <w:p>
      <w:pPr>
        <w:adjustRightInd w:val="0"/>
        <w:snapToGrid w:val="0"/>
        <w:spacing w:line="560" w:lineRule="exact"/>
        <w:ind w:firstLine="420" w:firstLineChars="200"/>
        <w:rPr>
          <w:rFonts w:cs="仿宋_GB2312"/>
          <w:color w:val="000000" w:themeColor="text1"/>
          <w:sz w:val="21"/>
          <w:szCs w:val="21"/>
          <w:u w:val="single"/>
          <w14:textFill>
            <w14:solidFill>
              <w14:schemeClr w14:val="tx1"/>
            </w14:solidFill>
          </w14:textFill>
        </w:rPr>
      </w:pPr>
      <w:r>
        <w:rPr>
          <w:rFonts w:hint="eastAsia" w:cs="仿宋_GB2312"/>
          <w:color w:val="000000" w:themeColor="text1"/>
          <w:sz w:val="21"/>
          <w:szCs w:val="21"/>
          <w:u w:val="single"/>
          <w14:textFill>
            <w14:solidFill>
              <w14:schemeClr w14:val="tx1"/>
            </w14:solidFill>
          </w14:textFill>
        </w:rPr>
        <w:t>（3）招标文件（含招标书、答疑、澄清文件、工程量清单等）</w:t>
      </w:r>
    </w:p>
    <w:p>
      <w:pPr>
        <w:adjustRightInd w:val="0"/>
        <w:snapToGrid w:val="0"/>
        <w:spacing w:line="560" w:lineRule="exact"/>
        <w:ind w:firstLine="420" w:firstLineChars="200"/>
        <w:rPr>
          <w:rFonts w:cs="仿宋_GB2312"/>
          <w:color w:val="000000" w:themeColor="text1"/>
          <w:sz w:val="21"/>
          <w:szCs w:val="21"/>
          <w:u w:val="single"/>
          <w14:textFill>
            <w14:solidFill>
              <w14:schemeClr w14:val="tx1"/>
            </w14:solidFill>
          </w14:textFill>
        </w:rPr>
      </w:pPr>
      <w:r>
        <w:rPr>
          <w:rFonts w:hint="eastAsia" w:cs="仿宋_GB2312"/>
          <w:color w:val="000000" w:themeColor="text1"/>
          <w:sz w:val="21"/>
          <w:szCs w:val="21"/>
          <w:u w:val="single"/>
          <w14:textFill>
            <w14:solidFill>
              <w14:schemeClr w14:val="tx1"/>
            </w14:solidFill>
          </w14:textFill>
        </w:rPr>
        <w:t xml:space="preserve">（4）本合同专用条款 </w:t>
      </w:r>
    </w:p>
    <w:p>
      <w:pPr>
        <w:adjustRightInd w:val="0"/>
        <w:snapToGrid w:val="0"/>
        <w:spacing w:line="560" w:lineRule="exact"/>
        <w:ind w:firstLine="420" w:firstLineChars="200"/>
        <w:rPr>
          <w:rFonts w:cs="仿宋_GB2312"/>
          <w:color w:val="000000" w:themeColor="text1"/>
          <w:sz w:val="21"/>
          <w:szCs w:val="21"/>
          <w:u w:val="single"/>
          <w14:textFill>
            <w14:solidFill>
              <w14:schemeClr w14:val="tx1"/>
            </w14:solidFill>
          </w14:textFill>
        </w:rPr>
      </w:pPr>
      <w:r>
        <w:rPr>
          <w:rFonts w:hint="eastAsia" w:cs="仿宋_GB2312"/>
          <w:color w:val="000000" w:themeColor="text1"/>
          <w:sz w:val="21"/>
          <w:szCs w:val="21"/>
          <w:u w:val="single"/>
          <w14:textFill>
            <w14:solidFill>
              <w14:schemeClr w14:val="tx1"/>
            </w14:solidFill>
          </w14:textFill>
        </w:rPr>
        <w:t xml:space="preserve">（5）本合同通用条款 </w:t>
      </w:r>
    </w:p>
    <w:p>
      <w:pPr>
        <w:adjustRightInd w:val="0"/>
        <w:snapToGrid w:val="0"/>
        <w:spacing w:line="560" w:lineRule="exact"/>
        <w:ind w:firstLine="420" w:firstLineChars="200"/>
        <w:rPr>
          <w:rFonts w:cs="仿宋_GB2312"/>
          <w:color w:val="000000" w:themeColor="text1"/>
          <w:sz w:val="21"/>
          <w:szCs w:val="21"/>
          <w:u w:val="single"/>
          <w14:textFill>
            <w14:solidFill>
              <w14:schemeClr w14:val="tx1"/>
            </w14:solidFill>
          </w14:textFill>
        </w:rPr>
      </w:pPr>
      <w:r>
        <w:rPr>
          <w:rFonts w:hint="eastAsia" w:cs="仿宋_GB2312"/>
          <w:color w:val="000000" w:themeColor="text1"/>
          <w:sz w:val="21"/>
          <w:szCs w:val="21"/>
          <w:u w:val="single"/>
          <w14:textFill>
            <w14:solidFill>
              <w14:schemeClr w14:val="tx1"/>
            </w14:solidFill>
          </w14:textFill>
        </w:rPr>
        <w:t xml:space="preserve">（6）标准、规范及有关技术文件 </w:t>
      </w:r>
    </w:p>
    <w:p>
      <w:pPr>
        <w:adjustRightInd w:val="0"/>
        <w:snapToGrid w:val="0"/>
        <w:spacing w:line="560" w:lineRule="exact"/>
        <w:ind w:firstLine="420" w:firstLineChars="200"/>
        <w:rPr>
          <w:rFonts w:cs="仿宋_GB2312"/>
          <w:color w:val="000000" w:themeColor="text1"/>
          <w:sz w:val="21"/>
          <w:szCs w:val="21"/>
          <w:u w:val="single"/>
          <w14:textFill>
            <w14:solidFill>
              <w14:schemeClr w14:val="tx1"/>
            </w14:solidFill>
          </w14:textFill>
        </w:rPr>
      </w:pPr>
      <w:r>
        <w:rPr>
          <w:rFonts w:hint="eastAsia" w:cs="仿宋_GB2312"/>
          <w:color w:val="000000" w:themeColor="text1"/>
          <w:sz w:val="21"/>
          <w:szCs w:val="21"/>
          <w:u w:val="single"/>
          <w14:textFill>
            <w14:solidFill>
              <w14:schemeClr w14:val="tx1"/>
            </w14:solidFill>
          </w14:textFill>
        </w:rPr>
        <w:t xml:space="preserve">（7）图纸 </w:t>
      </w:r>
    </w:p>
    <w:p>
      <w:pPr>
        <w:adjustRightInd w:val="0"/>
        <w:snapToGrid w:val="0"/>
        <w:spacing w:line="560" w:lineRule="exact"/>
        <w:ind w:firstLine="420" w:firstLineChars="200"/>
        <w:rPr>
          <w:rFonts w:cs="仿宋_GB2312"/>
          <w:color w:val="000000" w:themeColor="text1"/>
          <w:sz w:val="21"/>
          <w:szCs w:val="21"/>
          <w:u w:val="single"/>
          <w14:textFill>
            <w14:solidFill>
              <w14:schemeClr w14:val="tx1"/>
            </w14:solidFill>
          </w14:textFill>
        </w:rPr>
      </w:pPr>
      <w:r>
        <w:rPr>
          <w:rFonts w:hint="eastAsia" w:cs="仿宋_GB2312"/>
          <w:color w:val="000000" w:themeColor="text1"/>
          <w:sz w:val="21"/>
          <w:szCs w:val="21"/>
          <w:u w:val="single"/>
          <w14:textFill>
            <w14:solidFill>
              <w14:schemeClr w14:val="tx1"/>
            </w14:solidFill>
          </w14:textFill>
        </w:rPr>
        <w:t xml:space="preserve">（8）投标书及附件 </w:t>
      </w:r>
    </w:p>
    <w:p>
      <w:pPr>
        <w:adjustRightInd w:val="0"/>
        <w:snapToGrid w:val="0"/>
        <w:spacing w:line="560" w:lineRule="exact"/>
        <w:ind w:firstLine="420" w:firstLineChars="200"/>
        <w:rPr>
          <w:rFonts w:cs="仿宋_GB2312"/>
          <w:color w:val="000000" w:themeColor="text1"/>
          <w:sz w:val="21"/>
          <w:szCs w:val="21"/>
          <w:u w:val="single"/>
          <w14:textFill>
            <w14:solidFill>
              <w14:schemeClr w14:val="tx1"/>
            </w14:solidFill>
          </w14:textFill>
        </w:rPr>
      </w:pPr>
      <w:r>
        <w:rPr>
          <w:rFonts w:hint="eastAsia" w:cs="仿宋_GB2312"/>
          <w:color w:val="000000" w:themeColor="text1"/>
          <w:sz w:val="21"/>
          <w:szCs w:val="21"/>
          <w:u w:val="single"/>
          <w14:textFill>
            <w14:solidFill>
              <w14:schemeClr w14:val="tx1"/>
            </w14:solidFill>
          </w14:textFill>
        </w:rPr>
        <w:t xml:space="preserve">（9）已标价工程量清单 </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s="仿宋_GB2312"/>
          <w:color w:val="000000" w:themeColor="text1"/>
          <w:sz w:val="21"/>
          <w:szCs w:val="21"/>
          <w:u w:val="single"/>
          <w14:textFill>
            <w14:solidFill>
              <w14:schemeClr w14:val="tx1"/>
            </w14:solidFill>
          </w14:textFill>
        </w:rPr>
        <w:t>（10）其他合同文件</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1.6图纸和承包人文件</w:t>
      </w:r>
      <w:r>
        <w:rPr>
          <w:rFonts w:hint="eastAsia" w:cs="仿宋_GB2312"/>
          <w:b/>
          <w:bCs/>
          <w:color w:val="000000" w:themeColor="text1"/>
          <w:sz w:val="21"/>
          <w:szCs w:val="21"/>
          <w14:textFill>
            <w14:solidFill>
              <w14:schemeClr w14:val="tx1"/>
            </w14:solidFill>
          </w14:textFill>
        </w:rPr>
        <w:tab/>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1.6.1 图纸的提供</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发包人向承包人提供图纸的期限：</w:t>
      </w:r>
      <w:r>
        <w:rPr>
          <w:rFonts w:hint="eastAsia" w:cs="仿宋_GB2312"/>
          <w:color w:val="000000" w:themeColor="text1"/>
          <w:sz w:val="21"/>
          <w:szCs w:val="21"/>
          <w:u w:val="single"/>
          <w14:textFill>
            <w14:solidFill>
              <w14:schemeClr w14:val="tx1"/>
            </w14:solidFill>
          </w14:textFill>
        </w:rPr>
        <w:t>开工前十日内</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发包人向承包人提供图纸的数量：</w:t>
      </w:r>
      <w:r>
        <w:rPr>
          <w:rFonts w:hint="eastAsia" w:cs="仿宋_GB2312"/>
          <w:color w:val="000000" w:themeColor="text1"/>
          <w:sz w:val="21"/>
          <w:szCs w:val="21"/>
          <w:u w:val="single"/>
          <w14:textFill>
            <w14:solidFill>
              <w14:schemeClr w14:val="tx1"/>
            </w14:solidFill>
          </w14:textFill>
        </w:rPr>
        <w:t>提供2套，不足的由承包人自行复制，费用自理</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发包人向承包人提供图纸的内容：</w:t>
      </w:r>
      <w:r>
        <w:rPr>
          <w:rFonts w:hint="eastAsia" w:cs="仿宋_GB2312"/>
          <w:color w:val="000000" w:themeColor="text1"/>
          <w:sz w:val="21"/>
          <w:szCs w:val="21"/>
          <w:u w:val="single"/>
          <w14:textFill>
            <w14:solidFill>
              <w14:schemeClr w14:val="tx1"/>
            </w14:solidFill>
          </w14:textFill>
        </w:rPr>
        <w:t>完整施工图</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1.6.4承包人文件</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需要由承包人提供的文件，包括：</w:t>
      </w:r>
      <w:r>
        <w:rPr>
          <w:rFonts w:hint="eastAsia" w:cs="仿宋_GB2312"/>
          <w:color w:val="000000" w:themeColor="text1"/>
          <w:sz w:val="21"/>
          <w:szCs w:val="21"/>
          <w:u w:val="single"/>
          <w14:textFill>
            <w14:solidFill>
              <w14:schemeClr w14:val="tx1"/>
            </w14:solidFill>
          </w14:textFill>
        </w:rPr>
        <w:t>施工组织设计、施工进度计划、阶段性进度计划、施工总平面布置图、专项方案；深化设计或二次设计文件、分包单位资信文件、分包合同、主要材料与设备采购技术文件（如有）；项目管理需要所必须提供的文件以及有关规范性文件规定的其它应由承包人提供的文件</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承包人提供的文件的期限为：</w:t>
      </w:r>
      <w:r>
        <w:rPr>
          <w:rFonts w:hint="eastAsia" w:cs="仿宋_GB2312"/>
          <w:color w:val="000000" w:themeColor="text1"/>
          <w:sz w:val="21"/>
          <w:szCs w:val="21"/>
          <w:u w:val="single"/>
          <w14:textFill>
            <w14:solidFill>
              <w14:schemeClr w14:val="tx1"/>
            </w14:solidFill>
          </w14:textFill>
        </w:rPr>
        <w:t>该文件使用前14天并满足发包人要求</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承包人提供的文件的数量为：</w:t>
      </w:r>
      <w:r>
        <w:rPr>
          <w:rFonts w:hint="eastAsia" w:cs="仿宋_GB2312"/>
          <w:color w:val="000000" w:themeColor="text1"/>
          <w:sz w:val="21"/>
          <w:szCs w:val="21"/>
          <w:u w:val="single"/>
          <w14:textFill>
            <w14:solidFill>
              <w14:schemeClr w14:val="tx1"/>
            </w14:solidFill>
          </w14:textFill>
        </w:rPr>
        <w:t>纸质文件不少于两份，电子文件一份，并满足档案管理需要</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承包人提供的文件的形式为：</w:t>
      </w:r>
      <w:r>
        <w:rPr>
          <w:rFonts w:hint="eastAsia" w:cs="仿宋_GB2312"/>
          <w:color w:val="000000" w:themeColor="text1"/>
          <w:sz w:val="21"/>
          <w:szCs w:val="21"/>
          <w:u w:val="single"/>
          <w14:textFill>
            <w14:solidFill>
              <w14:schemeClr w14:val="tx1"/>
            </w14:solidFill>
          </w14:textFill>
        </w:rPr>
        <w:t>纸质文件签章完整，电子文件为PDF格式</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发包人审批承包人文件的期限：</w:t>
      </w:r>
      <w:r>
        <w:rPr>
          <w:rFonts w:hint="eastAsia" w:cs="仿宋_GB2312"/>
          <w:color w:val="000000" w:themeColor="text1"/>
          <w:sz w:val="21"/>
          <w:szCs w:val="21"/>
          <w:u w:val="single"/>
          <w14:textFill>
            <w14:solidFill>
              <w14:schemeClr w14:val="tx1"/>
            </w14:solidFill>
          </w14:textFill>
        </w:rPr>
        <w:t>以发包人审批时间为准</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1.6.5现场图纸准备</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关于现场图纸准备的约定：</w:t>
      </w:r>
      <w:r>
        <w:rPr>
          <w:rFonts w:hint="eastAsia" w:cs="仿宋_GB2312"/>
          <w:color w:val="000000" w:themeColor="text1"/>
          <w:sz w:val="21"/>
          <w:szCs w:val="21"/>
          <w:u w:val="single"/>
          <w14:textFill>
            <w14:solidFill>
              <w14:schemeClr w14:val="tx1"/>
            </w14:solidFill>
          </w14:textFill>
        </w:rPr>
        <w:t>承包人现场保存完整图纸一套</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1.7联络</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1.7.1发包人和承包人应当在</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lang w:val="en-US"/>
          <w14:textFill>
            <w14:solidFill>
              <w14:schemeClr w14:val="tx1"/>
            </w14:solidFill>
          </w14:textFill>
        </w:rPr>
        <w:t>3</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天内将与合同有关的通知、批准、证明、证书、指示、指令、要求、请求、同意、意见、确定和决定等书面函件送达对方当事人。</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1.7.2 发包人接收文件的地点：</w:t>
      </w:r>
      <w:r>
        <w:rPr>
          <w:rFonts w:hint="eastAsia" w:cs="仿宋_GB2312"/>
          <w:color w:val="000000" w:themeColor="text1"/>
          <w:sz w:val="21"/>
          <w:szCs w:val="21"/>
          <w:u w:val="single"/>
          <w14:textFill>
            <w14:solidFill>
              <w14:schemeClr w14:val="tx1"/>
            </w14:solidFill>
          </w14:textFill>
        </w:rPr>
        <w:t>施工现场建设单位办公室</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发包人指定的接收人为：</w:t>
      </w:r>
      <w:r>
        <w:rPr>
          <w:rFonts w:hint="eastAsia" w:cs="仿宋_GB2312"/>
          <w:color w:val="000000" w:themeColor="text1"/>
          <w:sz w:val="21"/>
          <w:szCs w:val="21"/>
          <w:u w:val="single"/>
          <w14:textFill>
            <w14:solidFill>
              <w14:schemeClr w14:val="tx1"/>
            </w14:solidFill>
          </w14:textFill>
        </w:rPr>
        <w:t>发包方代表</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承包人接收文件的地点：</w:t>
      </w:r>
      <w:r>
        <w:rPr>
          <w:rFonts w:hint="eastAsia" w:cs="仿宋_GB2312"/>
          <w:color w:val="000000" w:themeColor="text1"/>
          <w:sz w:val="21"/>
          <w:szCs w:val="21"/>
          <w:u w:val="single"/>
          <w14:textFill>
            <w14:solidFill>
              <w14:schemeClr w14:val="tx1"/>
            </w14:solidFill>
          </w14:textFill>
        </w:rPr>
        <w:t>施工现场建设单位办公室</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承包人指定的接收人为：</w:t>
      </w:r>
      <w:r>
        <w:rPr>
          <w:rFonts w:hint="eastAsia" w:cs="仿宋_GB2312"/>
          <w:color w:val="000000" w:themeColor="text1"/>
          <w:sz w:val="21"/>
          <w:szCs w:val="21"/>
          <w:u w:val="single"/>
          <w14:textFill>
            <w14:solidFill>
              <w14:schemeClr w14:val="tx1"/>
            </w14:solidFill>
          </w14:textFill>
        </w:rPr>
        <w:t>项目经理</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监理人接收文件的地点：</w:t>
      </w:r>
      <w:r>
        <w:rPr>
          <w:rFonts w:hint="eastAsia" w:cs="仿宋_GB2312"/>
          <w:color w:val="000000" w:themeColor="text1"/>
          <w:sz w:val="21"/>
          <w:szCs w:val="21"/>
          <w:u w:val="single"/>
          <w14:textFill>
            <w14:solidFill>
              <w14:schemeClr w14:val="tx1"/>
            </w14:solidFill>
          </w14:textFill>
        </w:rPr>
        <w:t>项目监理机构办公室</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监理人指定的接收人为：</w:t>
      </w:r>
      <w:r>
        <w:rPr>
          <w:rFonts w:hint="eastAsia" w:cs="仿宋_GB2312"/>
          <w:color w:val="000000" w:themeColor="text1"/>
          <w:sz w:val="21"/>
          <w:szCs w:val="21"/>
          <w:u w:val="single"/>
          <w14:textFill>
            <w14:solidFill>
              <w14:schemeClr w14:val="tx1"/>
            </w14:solidFill>
          </w14:textFill>
        </w:rPr>
        <w:t>项目总监理工程师</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1.10交通运输</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bookmarkStart w:id="87" w:name="_Toc304295521"/>
      <w:bookmarkStart w:id="88" w:name="_Toc312677986"/>
      <w:bookmarkStart w:id="89" w:name="_Toc303539100"/>
      <w:bookmarkStart w:id="90" w:name="_Toc300934943"/>
      <w:bookmarkStart w:id="91" w:name="_Toc318581155"/>
      <w:r>
        <w:rPr>
          <w:rFonts w:hint="eastAsia"/>
          <w:color w:val="000000" w:themeColor="text1"/>
          <w:sz w:val="21"/>
          <w:szCs w:val="21"/>
          <w14:textFill>
            <w14:solidFill>
              <w14:schemeClr w14:val="tx1"/>
            </w14:solidFill>
          </w14:textFill>
        </w:rPr>
        <w:t>.10.1 出入现场的权利</w:t>
      </w:r>
    </w:p>
    <w:p>
      <w:pPr>
        <w:adjustRightInd w:val="0"/>
        <w:snapToGrid w:val="0"/>
        <w:spacing w:line="560" w:lineRule="exact"/>
        <w:ind w:left="625" w:leftChars="284"/>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关于出入现场的权利的约定：</w:t>
      </w:r>
      <w:r>
        <w:rPr>
          <w:rFonts w:hint="eastAsia" w:cs="仿宋_GB2312"/>
          <w:color w:val="000000" w:themeColor="text1"/>
          <w:sz w:val="21"/>
          <w:szCs w:val="21"/>
          <w:u w:val="single"/>
          <w14:textFill>
            <w14:solidFill>
              <w14:schemeClr w14:val="tx1"/>
            </w14:solidFill>
          </w14:textFill>
        </w:rPr>
        <w:t>承包人自行勘察场外交通，发包人负责协助办理相关手续，所需费用由承包人承担</w:t>
      </w:r>
      <w:r>
        <w:rPr>
          <w:rFonts w:hint="eastAsia"/>
          <w:color w:val="000000" w:themeColor="text1"/>
          <w:sz w:val="21"/>
          <w:szCs w:val="21"/>
          <w14:textFill>
            <w14:solidFill>
              <w14:schemeClr w14:val="tx1"/>
            </w14:solidFill>
          </w14:textFill>
        </w:rPr>
        <w:t>。</w:t>
      </w:r>
    </w:p>
    <w:bookmarkEnd w:id="87"/>
    <w:bookmarkEnd w:id="88"/>
    <w:bookmarkEnd w:id="89"/>
    <w:bookmarkEnd w:id="90"/>
    <w:bookmarkEnd w:id="91"/>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bookmarkStart w:id="92" w:name="_Toc304295522"/>
      <w:bookmarkStart w:id="93" w:name="_Toc318581156"/>
      <w:bookmarkStart w:id="94" w:name="_Toc312677987"/>
      <w:bookmarkStart w:id="95" w:name="_Toc303539101"/>
      <w:bookmarkStart w:id="96" w:name="_Toc300934944"/>
      <w:r>
        <w:rPr>
          <w:rFonts w:hint="eastAsia"/>
          <w:color w:val="000000" w:themeColor="text1"/>
          <w:sz w:val="21"/>
          <w:szCs w:val="21"/>
          <w14:textFill>
            <w14:solidFill>
              <w14:schemeClr w14:val="tx1"/>
            </w14:solidFill>
          </w14:textFill>
        </w:rPr>
        <w:t>.10.3 场内交通</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关于场外交通和场内交通的边界的约定：</w:t>
      </w:r>
      <w:r>
        <w:rPr>
          <w:rFonts w:hint="eastAsia" w:cs="仿宋_GB2312"/>
          <w:color w:val="000000" w:themeColor="text1"/>
          <w:sz w:val="21"/>
          <w:szCs w:val="21"/>
          <w:u w:val="single"/>
          <w14:textFill>
            <w14:solidFill>
              <w14:schemeClr w14:val="tx1"/>
            </w14:solidFill>
          </w14:textFill>
        </w:rPr>
        <w:t>以建设项目永久占地为界。场外交通道路可利用已有的道路，承包人负责施工期间维护并保证交通畅通，退场前恢复原状，相关费用由承包人承担</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关于发包人向承包人免费提供满足工程施工需要的场内道路和交通设施的约定：</w:t>
      </w:r>
      <w:r>
        <w:rPr>
          <w:rFonts w:hint="eastAsia" w:cs="仿宋_GB2312"/>
          <w:color w:val="000000" w:themeColor="text1"/>
          <w:sz w:val="21"/>
          <w:szCs w:val="21"/>
          <w:u w:val="single"/>
          <w14:textFill>
            <w14:solidFill>
              <w14:schemeClr w14:val="tx1"/>
            </w14:solidFill>
          </w14:textFill>
        </w:rPr>
        <w:t>场内道路和交通设施由承包人施工并承担费用</w:t>
      </w:r>
      <w:r>
        <w:rPr>
          <w:rFonts w:hint="eastAsia"/>
          <w:color w:val="000000" w:themeColor="text1"/>
          <w:sz w:val="21"/>
          <w:szCs w:val="21"/>
          <w14:textFill>
            <w14:solidFill>
              <w14:schemeClr w14:val="tx1"/>
            </w14:solidFill>
          </w14:textFill>
        </w:rPr>
        <w:t>。</w:t>
      </w:r>
      <w:bookmarkEnd w:id="92"/>
      <w:bookmarkEnd w:id="93"/>
      <w:bookmarkEnd w:id="94"/>
      <w:bookmarkEnd w:id="95"/>
      <w:bookmarkEnd w:id="96"/>
      <w:r>
        <w:rPr>
          <w:rFonts w:hint="eastAsia"/>
          <w:color w:val="000000" w:themeColor="text1"/>
          <w:sz w:val="21"/>
          <w:szCs w:val="21"/>
          <w14:textFill>
            <w14:solidFill>
              <w14:schemeClr w14:val="tx1"/>
            </w14:solidFill>
          </w14:textFill>
        </w:rPr>
        <w:t xml:space="preserve">  </w:t>
      </w:r>
      <w:bookmarkStart w:id="97" w:name="_Toc318581157"/>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1.10.4超大件和超重件的运输</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运输超大件或超重件所需的道路和桥梁临时加固改造费用和其他有关费用</w:t>
      </w:r>
      <w:r>
        <w:rPr>
          <w:rFonts w:hint="eastAsia"/>
          <w:color w:val="000000" w:themeColor="text1"/>
          <w:sz w:val="21"/>
          <w:szCs w:val="21"/>
          <w:u w:val="single"/>
          <w14:textFill>
            <w14:solidFill>
              <w14:schemeClr w14:val="tx1"/>
            </w14:solidFill>
          </w14:textFill>
        </w:rPr>
        <w:t xml:space="preserve"> 承包人 </w:t>
      </w:r>
      <w:r>
        <w:rPr>
          <w:rFonts w:hint="eastAsia"/>
          <w:color w:val="000000" w:themeColor="text1"/>
          <w:sz w:val="21"/>
          <w:szCs w:val="21"/>
          <w14:textFill>
            <w14:solidFill>
              <w14:schemeClr w14:val="tx1"/>
            </w14:solidFill>
          </w14:textFill>
        </w:rPr>
        <w:t>承担。</w:t>
      </w:r>
    </w:p>
    <w:bookmarkEnd w:id="97"/>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1.11知识产权</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lang w:val="en-US"/>
          <w14:textFill>
            <w14:solidFill>
              <w14:schemeClr w14:val="tx1"/>
            </w14:solidFill>
          </w14:textFill>
        </w:rPr>
        <w:t>属于</w:t>
      </w:r>
      <w:r>
        <w:rPr>
          <w:rFonts w:hint="eastAsia" w:cs="仿宋_GB2312"/>
          <w:color w:val="000000" w:themeColor="text1"/>
          <w:sz w:val="21"/>
          <w:szCs w:val="21"/>
          <w:u w:val="single"/>
          <w:lang w:val="en-US"/>
          <w14:textFill>
            <w14:solidFill>
              <w14:schemeClr w14:val="tx1"/>
            </w14:solidFill>
          </w14:textFill>
        </w:rPr>
        <w:t>发</w:t>
      </w:r>
      <w:r>
        <w:rPr>
          <w:rFonts w:hint="eastAsia" w:cs="仿宋_GB2312"/>
          <w:color w:val="000000" w:themeColor="text1"/>
          <w:sz w:val="21"/>
          <w:szCs w:val="21"/>
          <w:u w:val="single"/>
          <w14:textFill>
            <w14:solidFill>
              <w14:schemeClr w14:val="tx1"/>
            </w14:solidFill>
          </w14:textFill>
        </w:rPr>
        <w:t>包人</w:t>
      </w:r>
      <w:r>
        <w:rPr>
          <w:rFonts w:hint="eastAsia"/>
          <w:color w:val="000000" w:themeColor="text1"/>
          <w:sz w:val="21"/>
          <w:szCs w:val="21"/>
          <w14:textFill>
            <w14:solidFill>
              <w14:schemeClr w14:val="tx1"/>
            </w14:solidFill>
          </w14:textFill>
        </w:rPr>
        <w:t>。</w:t>
      </w:r>
    </w:p>
    <w:p>
      <w:pPr>
        <w:adjustRightInd w:val="0"/>
        <w:snapToGrid w:val="0"/>
        <w:spacing w:line="560" w:lineRule="exact"/>
        <w:ind w:left="625" w:leftChars="28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关于发包人提供的上述文件的使用限制的要求：</w:t>
      </w:r>
      <w:r>
        <w:rPr>
          <w:rFonts w:hint="eastAsia"/>
          <w:color w:val="000000" w:themeColor="text1"/>
          <w:sz w:val="21"/>
          <w:szCs w:val="21"/>
          <w:u w:val="single"/>
          <w14:textFill>
            <w14:solidFill>
              <w14:schemeClr w14:val="tx1"/>
            </w14:solidFill>
          </w14:textFill>
        </w:rPr>
        <w:t>执行通用合同条款</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1.11.2关于承包人为实施工程所编制文件的著作权的归属：</w:t>
      </w:r>
      <w:r>
        <w:rPr>
          <w:rFonts w:hint="eastAsia"/>
          <w:color w:val="000000" w:themeColor="text1"/>
          <w:sz w:val="21"/>
          <w:szCs w:val="21"/>
          <w:u w:val="single"/>
          <w14:textFill>
            <w14:solidFill>
              <w14:schemeClr w14:val="tx1"/>
            </w14:solidFill>
          </w14:textFill>
        </w:rPr>
        <w:t>归承包人和发包人共同所有</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关于承包人提供的上述文件的使用限制的要求：</w:t>
      </w:r>
      <w:r>
        <w:rPr>
          <w:rFonts w:hint="eastAsia" w:cs="仿宋_GB2312"/>
          <w:color w:val="000000" w:themeColor="text1"/>
          <w:sz w:val="21"/>
          <w:szCs w:val="21"/>
          <w:u w:val="single"/>
          <w14:textFill>
            <w14:solidFill>
              <w14:schemeClr w14:val="tx1"/>
            </w14:solidFill>
          </w14:textFill>
        </w:rPr>
        <w:t>执行通用合同条款</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1.11.4承包人在施工过程中所采用的专利、专有技术、技术秘密的使用费的承担方式：</w:t>
      </w:r>
      <w:r>
        <w:rPr>
          <w:rFonts w:hint="eastAsia" w:cs="仿宋_GB2312"/>
          <w:color w:val="000000" w:themeColor="text1"/>
          <w:sz w:val="21"/>
          <w:szCs w:val="21"/>
          <w:u w:val="single"/>
          <w14:textFill>
            <w14:solidFill>
              <w14:schemeClr w14:val="tx1"/>
            </w14:solidFill>
          </w14:textFill>
        </w:rPr>
        <w:t>执行通用合同条款</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1.13工程量清单错误的修正</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出现工程量清单错误时，是否调整合同价格：</w:t>
      </w:r>
      <w:r>
        <w:rPr>
          <w:rFonts w:hint="eastAsia"/>
          <w:color w:val="000000" w:themeColor="text1"/>
          <w:sz w:val="21"/>
          <w:szCs w:val="21"/>
          <w:u w:val="single"/>
          <w14:textFill>
            <w14:solidFill>
              <w14:schemeClr w14:val="tx1"/>
            </w14:solidFill>
          </w14:textFill>
        </w:rPr>
        <w:t xml:space="preserve"> 不予调整</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允许调整合同价格的工程量偏差范围：</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outlineLvl w:val="2"/>
        <w:rPr>
          <w:rFonts w:cs="楷体_GB2312"/>
          <w:b/>
          <w:bCs/>
          <w:color w:val="000000" w:themeColor="text1"/>
          <w:sz w:val="21"/>
          <w:szCs w:val="21"/>
          <w14:textFill>
            <w14:solidFill>
              <w14:schemeClr w14:val="tx1"/>
            </w14:solidFill>
          </w14:textFill>
        </w:rPr>
      </w:pPr>
      <w:bookmarkStart w:id="98" w:name="_Toc351203634"/>
      <w:r>
        <w:rPr>
          <w:rFonts w:hint="eastAsia" w:cs="楷体_GB2312"/>
          <w:b/>
          <w:bCs/>
          <w:color w:val="000000" w:themeColor="text1"/>
          <w:sz w:val="21"/>
          <w:szCs w:val="21"/>
          <w14:textFill>
            <w14:solidFill>
              <w14:schemeClr w14:val="tx1"/>
            </w14:solidFill>
          </w14:textFill>
        </w:rPr>
        <w:t>2</w:t>
      </w:r>
      <w:bookmarkStart w:id="99" w:name="_Toc296503157"/>
      <w:bookmarkStart w:id="100" w:name="_Toc292559362"/>
      <w:bookmarkStart w:id="101" w:name="_Toc296891197"/>
      <w:bookmarkStart w:id="102" w:name="_Toc297048343"/>
      <w:bookmarkStart w:id="103" w:name="_Toc296346658"/>
      <w:bookmarkStart w:id="104" w:name="_Toc297120457"/>
      <w:bookmarkStart w:id="105" w:name="_Toc296944496"/>
      <w:bookmarkStart w:id="106" w:name="_Toc296347156"/>
      <w:bookmarkStart w:id="107" w:name="_Toc296890985"/>
      <w:bookmarkStart w:id="108" w:name="_Toc292559867"/>
      <w:r>
        <w:rPr>
          <w:rFonts w:hint="eastAsia" w:cs="楷体_GB2312"/>
          <w:b/>
          <w:bCs/>
          <w:color w:val="000000" w:themeColor="text1"/>
          <w:sz w:val="21"/>
          <w:szCs w:val="21"/>
          <w14:textFill>
            <w14:solidFill>
              <w14:schemeClr w14:val="tx1"/>
            </w14:solidFill>
          </w14:textFill>
        </w:rPr>
        <w:t>. 发包人</w:t>
      </w:r>
      <w:bookmarkEnd w:id="98"/>
    </w:p>
    <w:bookmarkEnd w:id="99"/>
    <w:bookmarkEnd w:id="100"/>
    <w:bookmarkEnd w:id="101"/>
    <w:bookmarkEnd w:id="102"/>
    <w:bookmarkEnd w:id="103"/>
    <w:bookmarkEnd w:id="104"/>
    <w:bookmarkEnd w:id="105"/>
    <w:bookmarkEnd w:id="106"/>
    <w:bookmarkEnd w:id="107"/>
    <w:bookmarkEnd w:id="108"/>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2.2发包人代表</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发包人代表：</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姓    名：</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   </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身份证号：</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   </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职    务：</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联系电话：</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  </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电子信箱：</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  </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通信地址：</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发包人对发包人代表的授权范围如下：</w:t>
      </w:r>
      <w:r>
        <w:rPr>
          <w:rFonts w:hint="eastAsia" w:cs="仿宋_GB2312"/>
          <w:color w:val="000000" w:themeColor="text1"/>
          <w:sz w:val="21"/>
          <w:szCs w:val="21"/>
          <w:u w:val="single"/>
          <w14:textFill>
            <w14:solidFill>
              <w14:schemeClr w14:val="tx1"/>
            </w14:solidFill>
          </w14:textFill>
        </w:rPr>
        <w:t xml:space="preserve">代表发包人对本工程施工过程中的工程质量、 进度及相关投资、 安全文明施工等进行监督和检查。 在监理工程师的协助下严格控制工程进度和投资，协调解决由发包人处理的有关问题，但涉及工程量、设计变更、经济签证的确认需要发包人盖章方为有效 </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2.4施工现场、施工条件和基础资料的提供</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2.4.1提供施工现场</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关于发包人移交施工现场的期限要求：</w:t>
      </w:r>
      <w:r>
        <w:rPr>
          <w:rFonts w:hint="eastAsia" w:cs="仿宋_GB2312"/>
          <w:color w:val="000000" w:themeColor="text1"/>
          <w:sz w:val="21"/>
          <w:szCs w:val="21"/>
          <w:u w:val="single"/>
          <w14:textFill>
            <w14:solidFill>
              <w14:schemeClr w14:val="tx1"/>
            </w14:solidFill>
          </w14:textFill>
        </w:rPr>
        <w:t>执行通用合同条款</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2.4.2提供施工条件</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关于发包人应负责提供施工所需要的条件，包括：</w:t>
      </w:r>
      <w:r>
        <w:rPr>
          <w:rFonts w:hint="eastAsia"/>
          <w:color w:val="000000" w:themeColor="text1"/>
          <w:sz w:val="21"/>
          <w:szCs w:val="21"/>
          <w:u w:val="single"/>
          <w14:textFill>
            <w14:solidFill>
              <w14:schemeClr w14:val="tx1"/>
            </w14:solidFill>
          </w14:textFill>
        </w:rPr>
        <w:t>施工所需的水、电、电讯线路接驳点及道路位置以现状为准，承包人在投标前已踏勘，并应在开工前 7 日内由承包人自行接至施工现场，费用已包含在签约合同价之中。水、电由承包人装表计量，由承包人承担</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2.5资金来源证明及支付担保</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发包人提供资金来源证明的期限要求：</w:t>
      </w:r>
      <w:r>
        <w:rPr>
          <w:rFonts w:hint="eastAsia" w:cs="仿宋_GB2312"/>
          <w:color w:val="000000" w:themeColor="text1"/>
          <w:sz w:val="21"/>
          <w:szCs w:val="21"/>
          <w:u w:val="single"/>
          <w14:textFill>
            <w14:solidFill>
              <w14:schemeClr w14:val="tx1"/>
            </w14:solidFill>
          </w14:textFill>
        </w:rPr>
        <w:t>不提供</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发包人是否提供支付担保：</w:t>
      </w:r>
      <w:r>
        <w:rPr>
          <w:rFonts w:hint="eastAsia" w:cs="仿宋_GB2312"/>
          <w:color w:val="000000" w:themeColor="text1"/>
          <w:sz w:val="21"/>
          <w:szCs w:val="21"/>
          <w:u w:val="single"/>
          <w14:textFill>
            <w14:solidFill>
              <w14:schemeClr w14:val="tx1"/>
            </w14:solidFill>
          </w14:textFill>
        </w:rPr>
        <w:t>不提供</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发包人提供支付担保的形式：</w:t>
      </w:r>
      <w:r>
        <w:rPr>
          <w:rFonts w:hint="eastAsia" w:cs="仿宋_GB2312"/>
          <w:color w:val="000000" w:themeColor="text1"/>
          <w:sz w:val="21"/>
          <w:szCs w:val="21"/>
          <w:u w:val="single"/>
          <w14:textFill>
            <w14:solidFill>
              <w14:schemeClr w14:val="tx1"/>
            </w14:solidFill>
          </w14:textFill>
        </w:rPr>
        <w:t>不提供</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2.6关于节能建筑与绿色建筑的约定</w:t>
      </w:r>
      <w:r>
        <w:rPr>
          <w:rFonts w:hint="eastAsia"/>
          <w:color w:val="000000" w:themeColor="text1"/>
          <w:sz w:val="21"/>
          <w:szCs w:val="21"/>
          <w14:textFill>
            <w14:solidFill>
              <w14:schemeClr w14:val="tx1"/>
            </w14:solidFill>
          </w14:textFill>
        </w:rPr>
        <w:t>：</w:t>
      </w:r>
      <w:r>
        <w:rPr>
          <w:rFonts w:hint="eastAsia" w:cs="仿宋_GB2312"/>
          <w:color w:val="000000" w:themeColor="text1"/>
          <w:sz w:val="21"/>
          <w:szCs w:val="21"/>
          <w:u w:val="single"/>
          <w14:textFill>
            <w14:solidFill>
              <w14:schemeClr w14:val="tx1"/>
            </w14:solidFill>
          </w14:textFill>
        </w:rPr>
        <w:t></w:t>
      </w:r>
      <w:r>
        <w:rPr>
          <w:rFonts w:hint="eastAsia" w:cs="仿宋_GB2312"/>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outlineLvl w:val="2"/>
        <w:rPr>
          <w:rFonts w:cs="楷体_GB2312"/>
          <w:b/>
          <w:bCs/>
          <w:color w:val="000000" w:themeColor="text1"/>
          <w:sz w:val="21"/>
          <w:szCs w:val="21"/>
          <w14:textFill>
            <w14:solidFill>
              <w14:schemeClr w14:val="tx1"/>
            </w14:solidFill>
          </w14:textFill>
        </w:rPr>
      </w:pPr>
      <w:r>
        <w:rPr>
          <w:rFonts w:hint="eastAsia" w:cs="楷体_GB2312"/>
          <w:b/>
          <w:bCs/>
          <w:color w:val="000000" w:themeColor="text1"/>
          <w:sz w:val="21"/>
          <w:szCs w:val="21"/>
          <w14:textFill>
            <w14:solidFill>
              <w14:schemeClr w14:val="tx1"/>
            </w14:solidFill>
          </w14:textFill>
        </w:rPr>
        <w:t>3. 承包人</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3.1 承包人的一般义务</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（9）承包人提交的竣工资料的内容：</w:t>
      </w:r>
      <w:r>
        <w:rPr>
          <w:rFonts w:hint="eastAsia"/>
          <w:color w:val="000000" w:themeColor="text1"/>
          <w:sz w:val="21"/>
          <w:szCs w:val="21"/>
          <w:u w:val="single"/>
          <w14:textFill>
            <w14:solidFill>
              <w14:schemeClr w14:val="tx1"/>
            </w14:solidFill>
          </w14:textFill>
        </w:rPr>
        <w:t xml:space="preserve"> 施工技术管理资料、工程质量控制资料、竣工图、验收资料及发包人所需的其他竣工资料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承包人需要提交的竣工资料套数：</w:t>
      </w:r>
      <w:r>
        <w:rPr>
          <w:rFonts w:hint="eastAsia"/>
          <w:color w:val="000000" w:themeColor="text1"/>
          <w:sz w:val="21"/>
          <w:szCs w:val="21"/>
          <w:u w:val="single"/>
          <w14:textFill>
            <w14:solidFill>
              <w14:schemeClr w14:val="tx1"/>
            </w14:solidFill>
          </w14:textFill>
        </w:rPr>
        <w:t xml:space="preserve">  纸质文件不少于四份，电子文件一份，并满足档案管理需要  </w:t>
      </w:r>
      <w:r>
        <w:rPr>
          <w:rFonts w:hint="eastAsia"/>
          <w:color w:val="000000" w:themeColor="text1"/>
          <w:sz w:val="21"/>
          <w:szCs w:val="21"/>
          <w14:textFill>
            <w14:solidFill>
              <w14:schemeClr w14:val="tx1"/>
            </w14:solidFill>
          </w14:textFill>
        </w:rPr>
        <w:t>。</w:t>
      </w:r>
    </w:p>
    <w:p>
      <w:pPr>
        <w:adjustRightInd w:val="0"/>
        <w:snapToGrid w:val="0"/>
        <w:spacing w:line="560" w:lineRule="exact"/>
        <w:ind w:left="669" w:leftChars="30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承包人提交的竣工资料的费用承担：</w:t>
      </w:r>
      <w:r>
        <w:rPr>
          <w:rFonts w:hint="eastAsia"/>
          <w:color w:val="000000" w:themeColor="text1"/>
          <w:sz w:val="21"/>
          <w:szCs w:val="21"/>
          <w:u w:val="single"/>
          <w14:textFill>
            <w14:solidFill>
              <w14:schemeClr w14:val="tx1"/>
            </w14:solidFill>
          </w14:textFill>
        </w:rPr>
        <w:t xml:space="preserve">  由承包人承担  </w:t>
      </w:r>
      <w:r>
        <w:rPr>
          <w:rFonts w:hint="eastAsia"/>
          <w:color w:val="000000" w:themeColor="text1"/>
          <w:sz w:val="21"/>
          <w:szCs w:val="21"/>
          <w14:textFill>
            <w14:solidFill>
              <w14:schemeClr w14:val="tx1"/>
            </w14:solidFill>
          </w14:textFill>
        </w:rPr>
        <w:t>。</w:t>
      </w:r>
    </w:p>
    <w:p>
      <w:pPr>
        <w:adjustRightInd w:val="0"/>
        <w:snapToGrid w:val="0"/>
        <w:spacing w:line="560" w:lineRule="exact"/>
        <w:ind w:left="669" w:leftChars="30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承包人提交的竣工资料移交时间：</w:t>
      </w:r>
      <w:r>
        <w:rPr>
          <w:rFonts w:hint="eastAsia"/>
          <w:color w:val="000000" w:themeColor="text1"/>
          <w:sz w:val="21"/>
          <w:szCs w:val="21"/>
          <w:u w:val="single"/>
          <w14:textFill>
            <w14:solidFill>
              <w14:schemeClr w14:val="tx1"/>
            </w14:solidFill>
          </w14:textFill>
        </w:rPr>
        <w:t>竣工验收后 30 日内</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承包人提交的竣工资料形式要求：</w:t>
      </w:r>
      <w:r>
        <w:rPr>
          <w:rFonts w:hint="eastAsia"/>
          <w:color w:val="000000" w:themeColor="text1"/>
          <w:sz w:val="21"/>
          <w:szCs w:val="21"/>
          <w:u w:val="single"/>
          <w14:textFill>
            <w14:solidFill>
              <w14:schemeClr w14:val="tx1"/>
            </w14:solidFill>
          </w14:textFill>
        </w:rPr>
        <w:t>符合相关部门要求</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（10）承包人应履行的其他义务：</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（a）农民工工资管理应按照国家、省、市相关主管部门最新要求执行。</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农民工工资保证金缴纳方式： 如使用金融机构保函形式缴纳农民工工资保证金，应采用具有见索即付性质的独立保函。</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（b）其他</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3.2 项目经理</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3.2.1 项目经理：</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姓    名：</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      </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身份证号：</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      </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建造师执业资格等级：</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建造师注册证书号：</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建造师执业印章号：</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安全生产考核合格证书号：</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联系电话：</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      </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电子信箱：</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通信地址：</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承包人对项目经理的授权范围如下：</w:t>
      </w:r>
      <w:r>
        <w:rPr>
          <w:rFonts w:hint="eastAsia"/>
          <w:color w:val="000000" w:themeColor="text1"/>
          <w:sz w:val="21"/>
          <w:szCs w:val="21"/>
          <w:u w:val="single"/>
          <w14:textFill>
            <w14:solidFill>
              <w14:schemeClr w14:val="tx1"/>
            </w14:solidFill>
          </w14:textFill>
        </w:rPr>
        <w:t>执行通用合同条款</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关于项目经理每月在施工现场的时间要求：</w:t>
      </w:r>
      <w:r>
        <w:rPr>
          <w:rFonts w:hint="eastAsia"/>
          <w:color w:val="000000" w:themeColor="text1"/>
          <w:sz w:val="21"/>
          <w:szCs w:val="21"/>
          <w:u w:val="single"/>
          <w14:textFill>
            <w14:solidFill>
              <w14:schemeClr w14:val="tx1"/>
            </w14:solidFill>
          </w14:textFill>
        </w:rPr>
        <w:t xml:space="preserve"> 项目经理、技术负责人必须保证每个月不少于 22 天常驻现场组织施工，每天在岗时间不少于 6 小时</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承包人未提交劳动合同，以及没有为项目经理缴纳社会保险证明的违约责任：</w:t>
      </w:r>
      <w:r>
        <w:rPr>
          <w:rFonts w:hint="eastAsia"/>
          <w:color w:val="000000" w:themeColor="text1"/>
          <w:sz w:val="21"/>
          <w:szCs w:val="21"/>
          <w:u w:val="single"/>
          <w14:textFill>
            <w14:solidFill>
              <w14:schemeClr w14:val="tx1"/>
            </w14:solidFill>
          </w14:textFill>
        </w:rPr>
        <w:t xml:space="preserve"> 执行通用合同条款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项目经理未经批准，擅自离开施工现场的违约责任：</w:t>
      </w:r>
      <w:r>
        <w:rPr>
          <w:rFonts w:hint="eastAsia"/>
          <w:color w:val="000000" w:themeColor="text1"/>
          <w:sz w:val="21"/>
          <w:szCs w:val="21"/>
          <w:u w:val="single"/>
          <w14:textFill>
            <w14:solidFill>
              <w14:schemeClr w14:val="tx1"/>
            </w14:solidFill>
          </w14:textFill>
        </w:rPr>
        <w:t xml:space="preserve"> 由建设单位在施工现场安装考勤设备对项目经理进行考勤，每缺勤一天施工单位向发包人支付</w:t>
      </w:r>
      <w:r>
        <w:rPr>
          <w:rFonts w:hint="eastAsia"/>
          <w:color w:val="FF0000"/>
          <w:sz w:val="21"/>
          <w:szCs w:val="21"/>
          <w:u w:val="single"/>
        </w:rPr>
        <w:t>违约金</w:t>
      </w:r>
      <w:r>
        <w:rPr>
          <w:rFonts w:hint="eastAsia"/>
          <w:color w:val="FF0000"/>
          <w:sz w:val="21"/>
          <w:szCs w:val="21"/>
          <w:u w:val="single"/>
          <w:lang w:val="en-US" w:eastAsia="zh-CN"/>
        </w:rPr>
        <w:t>1000</w:t>
      </w:r>
      <w:r>
        <w:rPr>
          <w:rFonts w:hint="eastAsia"/>
          <w:color w:val="FF0000"/>
          <w:sz w:val="21"/>
          <w:szCs w:val="21"/>
          <w:u w:val="single"/>
        </w:rPr>
        <w:t>元</w:t>
      </w:r>
      <w:r>
        <w:rPr>
          <w:rFonts w:hint="eastAsia"/>
          <w:color w:val="000000" w:themeColor="text1"/>
          <w:sz w:val="21"/>
          <w:szCs w:val="21"/>
          <w:u w:val="single"/>
          <w14:textFill>
            <w14:solidFill>
              <w14:schemeClr w14:val="tx1"/>
            </w14:solidFill>
          </w14:textFill>
        </w:rPr>
        <w:t>，违约金如未在通知期限内缴纳，发包人可从工程进度款中双倍扣除违约金，计入已支付工程款；如累计出现三次或未按发包人要求及时整改，发包人有权责令其停工整改，直至解除合同，发包人还将停止支付工程款项，扣留任何未支付的工程进度款项，作为补偿发包人的有关损失或工期延误的损失，并就此向承包人索赔，并按有关规定将缺勤情况上报建设行政主管部门</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3.2.3 承包人擅自更换项目经理的违约责任：</w:t>
      </w:r>
      <w:r>
        <w:rPr>
          <w:rFonts w:hint="eastAsia"/>
          <w:color w:val="000000" w:themeColor="text1"/>
          <w:sz w:val="21"/>
          <w:szCs w:val="21"/>
          <w:u w:val="single"/>
          <w14:textFill>
            <w14:solidFill>
              <w14:schemeClr w14:val="tx1"/>
            </w14:solidFill>
          </w14:textFill>
        </w:rPr>
        <w:t xml:space="preserve"> 承包人不得擅自更换投标时所报项目经理,否则发包人有权解除合同，由此造成的损失由承包人自行承担，承包人还应赔偿由此造成发包人的全部损失。确需更换的须在签订合同后，报经发包人同意后按相关规定办理，并按照</w:t>
      </w:r>
      <w:r>
        <w:rPr>
          <w:rFonts w:hint="eastAsia"/>
          <w:color w:val="FF0000"/>
          <w:sz w:val="21"/>
          <w:szCs w:val="21"/>
          <w:u w:val="single"/>
          <w:lang w:val="en-US" w:eastAsia="zh-CN"/>
        </w:rPr>
        <w:t>3</w:t>
      </w:r>
      <w:r>
        <w:rPr>
          <w:rFonts w:hint="eastAsia"/>
          <w:color w:val="FF0000"/>
          <w:sz w:val="21"/>
          <w:szCs w:val="21"/>
          <w:u w:val="single"/>
        </w:rPr>
        <w:t>万元/人次</w:t>
      </w:r>
      <w:r>
        <w:rPr>
          <w:rFonts w:hint="eastAsia"/>
          <w:color w:val="000000" w:themeColor="text1"/>
          <w:sz w:val="21"/>
          <w:szCs w:val="21"/>
          <w:u w:val="single"/>
          <w14:textFill>
            <w14:solidFill>
              <w14:schemeClr w14:val="tx1"/>
            </w14:solidFill>
          </w14:textFill>
        </w:rPr>
        <w:t>支付违约金。更换后的人员不得低于承包人投标时所报人员资质和技术水平</w:t>
      </w:r>
      <w:r>
        <w:rPr>
          <w:rFonts w:hint="eastAsia"/>
          <w:color w:val="000000" w:themeColor="text1"/>
          <w:sz w:val="21"/>
          <w:szCs w:val="21"/>
          <w14:textFill>
            <w14:solidFill>
              <w14:schemeClr w14:val="tx1"/>
            </w14:solidFill>
          </w14:textFill>
        </w:rPr>
        <w:t>。</w:t>
      </w:r>
    </w:p>
    <w:p>
      <w:pPr>
        <w:adjustRightInd w:val="0"/>
        <w:snapToGrid w:val="0"/>
        <w:spacing w:line="56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3.2.4 承包人无正当理由拒绝更换项目经理的违约责任：</w:t>
      </w:r>
      <w:r>
        <w:rPr>
          <w:rFonts w:hint="eastAsia"/>
          <w:color w:val="000000" w:themeColor="text1"/>
          <w:sz w:val="21"/>
          <w:szCs w:val="21"/>
          <w:u w:val="single"/>
          <w14:textFill>
            <w14:solidFill>
              <w14:schemeClr w14:val="tx1"/>
            </w14:solidFill>
          </w14:textFill>
        </w:rPr>
        <w:t xml:space="preserve"> 监理人应在承包人接到第二次更换通知第29日书面通知该项目经理停止工作，指示暂时停止施工，承包人按照专用合同条款3.2.3约定的违约金额支付违约金。承包人暂时停止施工的按照通用合同条款7.8.2款【承包人原因引起的暂停施工】处理 </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3.3 承包人人员</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3.3.1 承包人提交项目管理机构及施工现场管理人员安排报告的期限：</w:t>
      </w:r>
      <w:r>
        <w:rPr>
          <w:rFonts w:hint="eastAsia"/>
          <w:color w:val="000000" w:themeColor="text1"/>
          <w:sz w:val="21"/>
          <w:szCs w:val="21"/>
          <w:u w:val="single"/>
          <w14:textFill>
            <w14:solidFill>
              <w14:schemeClr w14:val="tx1"/>
            </w14:solidFill>
          </w14:textFill>
        </w:rPr>
        <w:t xml:space="preserve">执行通用合同条款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3.3.3 承包人无正当理由拒绝撤换主要施工管理人员的违约责任：</w:t>
      </w:r>
      <w:r>
        <w:rPr>
          <w:rFonts w:hint="eastAsia"/>
          <w:color w:val="000000" w:themeColor="text1"/>
          <w:sz w:val="21"/>
          <w:szCs w:val="21"/>
          <w:u w:val="single"/>
          <w14:textFill>
            <w14:solidFill>
              <w14:schemeClr w14:val="tx1"/>
            </w14:solidFill>
          </w14:textFill>
        </w:rPr>
        <w:t xml:space="preserve">  监理人应在承包人接到第二次更换通知第29日书面通知该主要施工管理人员停止工作，承包人按照专用合同条款3.3.5约定的违约金额支付违约金，并根据需要采取要求承包人暂时停止施工等措施。承包人暂时停止施工的按照通用合同条款7.8.2款【承包人原因引起的暂停施工】处理</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3.3.4 承包人主要施工管理人员离开施工现场的批准要求：</w:t>
      </w:r>
      <w:r>
        <w:rPr>
          <w:rFonts w:hint="eastAsia"/>
          <w:color w:val="000000" w:themeColor="text1"/>
          <w:sz w:val="21"/>
          <w:szCs w:val="21"/>
          <w:u w:val="single"/>
          <w14:textFill>
            <w14:solidFill>
              <w14:schemeClr w14:val="tx1"/>
            </w14:solidFill>
          </w14:textFill>
        </w:rPr>
        <w:t xml:space="preserve"> 执行通用合同条款，并不得影响正常施工</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3.3.5承包人擅自更换主要施工管理人员的违约责任：</w:t>
      </w:r>
      <w:r>
        <w:rPr>
          <w:rFonts w:hint="eastAsia"/>
          <w:color w:val="000000" w:themeColor="text1"/>
          <w:sz w:val="21"/>
          <w:szCs w:val="21"/>
          <w:u w:val="single"/>
          <w14:textFill>
            <w14:solidFill>
              <w14:schemeClr w14:val="tx1"/>
            </w14:solidFill>
          </w14:textFill>
        </w:rPr>
        <w:t>承包人不得擅自更换投标时所报主要施工管理人员,否则发包人有权解除合同，由此造成的损失由承包人自行承担，承包人还应赔偿由此造成的发包人全部损失。确需更换的须在签订合同后，报经发包人同意后按相关规定办理，并按照技术负责人</w:t>
      </w:r>
      <w:r>
        <w:rPr>
          <w:rFonts w:hint="eastAsia"/>
          <w:color w:val="FF0000"/>
          <w:sz w:val="21"/>
          <w:szCs w:val="21"/>
          <w:u w:val="single"/>
          <w:lang w:val="en-US" w:eastAsia="zh-CN"/>
        </w:rPr>
        <w:t>2</w:t>
      </w:r>
      <w:r>
        <w:rPr>
          <w:rFonts w:hint="eastAsia"/>
          <w:color w:val="FF0000"/>
          <w:sz w:val="21"/>
          <w:szCs w:val="21"/>
          <w:u w:val="single"/>
        </w:rPr>
        <w:t>万元/人</w:t>
      </w:r>
      <w:r>
        <w:rPr>
          <w:rFonts w:hint="eastAsia"/>
          <w:color w:val="000000" w:themeColor="text1"/>
          <w:sz w:val="21"/>
          <w:szCs w:val="21"/>
          <w:u w:val="single"/>
          <w14:textFill>
            <w14:solidFill>
              <w14:schemeClr w14:val="tx1"/>
            </w14:solidFill>
          </w14:textFill>
        </w:rPr>
        <w:t>、其他主要管理人员</w:t>
      </w:r>
      <w:r>
        <w:rPr>
          <w:rFonts w:hint="eastAsia"/>
          <w:color w:val="FF0000"/>
          <w:sz w:val="21"/>
          <w:szCs w:val="21"/>
          <w:u w:val="single"/>
        </w:rPr>
        <w:t>1万元/人</w:t>
      </w:r>
      <w:r>
        <w:rPr>
          <w:rFonts w:hint="eastAsia"/>
          <w:color w:val="000000" w:themeColor="text1"/>
          <w:sz w:val="21"/>
          <w:szCs w:val="21"/>
          <w:u w:val="single"/>
          <w14:textFill>
            <w14:solidFill>
              <w14:schemeClr w14:val="tx1"/>
            </w14:solidFill>
          </w14:textFill>
        </w:rPr>
        <w:t>支付违约金，更换后的人员不得低于承包人投标时所报人员资质和技术水平</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承包人主要施工管理人员擅自离开施工现场的违约责任：</w:t>
      </w:r>
      <w:r>
        <w:rPr>
          <w:rFonts w:hint="eastAsia"/>
          <w:color w:val="000000" w:themeColor="text1"/>
          <w:sz w:val="21"/>
          <w:szCs w:val="21"/>
          <w:u w:val="single"/>
          <w14:textFill>
            <w14:solidFill>
              <w14:schemeClr w14:val="tx1"/>
            </w14:solidFill>
          </w14:textFill>
        </w:rPr>
        <w:t>由建设单位在施工现场安装考勤设备对项目经理进行考勤，每缺勤一天施工单位向发包人支付</w:t>
      </w:r>
      <w:r>
        <w:rPr>
          <w:rFonts w:hint="eastAsia"/>
          <w:color w:val="FF0000"/>
          <w:sz w:val="21"/>
          <w:szCs w:val="21"/>
          <w:u w:val="single"/>
        </w:rPr>
        <w:t>违约金</w:t>
      </w:r>
      <w:r>
        <w:rPr>
          <w:rFonts w:hint="eastAsia"/>
          <w:color w:val="FF0000"/>
          <w:sz w:val="21"/>
          <w:szCs w:val="21"/>
          <w:u w:val="single"/>
          <w:lang w:val="en-US" w:eastAsia="zh-CN"/>
        </w:rPr>
        <w:t>1</w:t>
      </w:r>
      <w:r>
        <w:rPr>
          <w:rFonts w:hint="eastAsia"/>
          <w:color w:val="FF0000"/>
          <w:sz w:val="21"/>
          <w:szCs w:val="21"/>
          <w:u w:val="single"/>
        </w:rPr>
        <w:t>000元</w:t>
      </w:r>
      <w:r>
        <w:rPr>
          <w:rFonts w:hint="eastAsia"/>
          <w:color w:val="000000" w:themeColor="text1"/>
          <w:sz w:val="21"/>
          <w:szCs w:val="21"/>
          <w:u w:val="single"/>
          <w14:textFill>
            <w14:solidFill>
              <w14:schemeClr w14:val="tx1"/>
            </w14:solidFill>
          </w14:textFill>
        </w:rPr>
        <w:t>，违约金如未在通知期限缴纳，发包人可从工程进度款中双倍扣除违约金，计入已支付工程款，如累计出现三次或未按发包人要求及时整改，发包人有权责令其停工整改，直至解除合同，发包人还将停止支付工程款项，扣留任何未支付的工程进度款项，作为补偿发包人的有关损失或工期延误的损失，并就此向承包人索赔，并按有关规定将缺勤情况上报建设行政主管部门</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3</w:t>
      </w:r>
      <w:bookmarkStart w:id="109" w:name="_Toc297216151"/>
      <w:bookmarkStart w:id="110" w:name="_Toc296944498"/>
      <w:bookmarkStart w:id="111" w:name="_Toc296346660"/>
      <w:bookmarkStart w:id="112" w:name="_Toc296347158"/>
      <w:bookmarkStart w:id="113" w:name="_Toc296503159"/>
      <w:bookmarkStart w:id="114" w:name="_Toc297048345"/>
      <w:bookmarkStart w:id="115" w:name="_Toc300934945"/>
      <w:bookmarkStart w:id="116" w:name="_Toc303539102"/>
      <w:bookmarkStart w:id="117" w:name="_Toc312677988"/>
      <w:bookmarkStart w:id="118" w:name="_Toc296890987"/>
      <w:bookmarkStart w:id="119" w:name="_Toc292559364"/>
      <w:bookmarkStart w:id="120" w:name="_Toc297123492"/>
      <w:bookmarkStart w:id="121" w:name="_Toc296891199"/>
      <w:bookmarkStart w:id="122" w:name="_Toc304295523"/>
      <w:bookmarkStart w:id="123" w:name="_Toc292559869"/>
      <w:bookmarkStart w:id="124" w:name="_Toc297120459"/>
      <w:r>
        <w:rPr>
          <w:rFonts w:hint="eastAsia" w:cs="仿宋_GB2312"/>
          <w:b/>
          <w:bCs/>
          <w:color w:val="000000" w:themeColor="text1"/>
          <w:sz w:val="21"/>
          <w:szCs w:val="21"/>
          <w14:textFill>
            <w14:solidFill>
              <w14:schemeClr w14:val="tx1"/>
            </w14:solidFill>
          </w14:textFill>
        </w:rPr>
        <w:t>.5分包</w:t>
      </w:r>
    </w:p>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bookmarkStart w:id="125" w:name="_Toc297123493"/>
      <w:bookmarkStart w:id="126" w:name="_Toc303539103"/>
      <w:bookmarkStart w:id="127" w:name="_Toc297120460"/>
      <w:bookmarkStart w:id="128" w:name="_Toc297048346"/>
      <w:bookmarkStart w:id="129" w:name="_Toc296347159"/>
      <w:bookmarkStart w:id="130" w:name="_Toc296346661"/>
      <w:bookmarkStart w:id="131" w:name="_Toc304295524"/>
      <w:bookmarkStart w:id="132" w:name="_Toc296890988"/>
      <w:bookmarkStart w:id="133" w:name="_Toc300934946"/>
      <w:bookmarkStart w:id="134" w:name="_Toc297216152"/>
      <w:bookmarkStart w:id="135" w:name="_Toc292559870"/>
      <w:bookmarkStart w:id="136" w:name="_Toc296891200"/>
      <w:bookmarkStart w:id="137" w:name="_Toc296503160"/>
      <w:bookmarkStart w:id="138" w:name="_Toc292559365"/>
      <w:bookmarkStart w:id="139" w:name="_Toc296944499"/>
      <w:bookmarkStart w:id="140" w:name="_Toc312677989"/>
      <w:bookmarkStart w:id="141" w:name="_Toc318581158"/>
      <w:r>
        <w:rPr>
          <w:rFonts w:hint="eastAsia"/>
          <w:color w:val="000000" w:themeColor="text1"/>
          <w:sz w:val="21"/>
          <w:szCs w:val="21"/>
          <w14:textFill>
            <w14:solidFill>
              <w14:schemeClr w14:val="tx1"/>
            </w14:solidFill>
          </w14:textFill>
        </w:rPr>
        <w:t>.5.1 分包的一般约定</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禁止分包的工程包括：</w:t>
      </w:r>
      <w:r>
        <w:rPr>
          <w:rFonts w:hint="eastAsia" w:cs="仿宋_GB2312"/>
          <w:color w:val="000000" w:themeColor="text1"/>
          <w:sz w:val="21"/>
          <w:szCs w:val="21"/>
          <w:u w:val="single"/>
          <w14:textFill>
            <w14:solidFill>
              <w14:schemeClr w14:val="tx1"/>
            </w14:solidFill>
          </w14:textFill>
        </w:rPr>
        <w:t>执行通用合同条款</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主体结构、关键性工作的范围：</w:t>
      </w:r>
      <w:r>
        <w:rPr>
          <w:rFonts w:hint="eastAsia" w:cs="仿宋_GB2312"/>
          <w:color w:val="000000" w:themeColor="text1"/>
          <w:sz w:val="21"/>
          <w:szCs w:val="21"/>
          <w:u w:val="single"/>
          <w14:textFill>
            <w14:solidFill>
              <w14:schemeClr w14:val="tx1"/>
            </w14:solidFill>
          </w14:textFill>
        </w:rPr>
        <w:t>执行通用合同条款</w:t>
      </w:r>
      <w:r>
        <w:rPr>
          <w:rFonts w:hint="eastAsia"/>
          <w:color w:val="000000" w:themeColor="text1"/>
          <w:sz w:val="21"/>
          <w:szCs w:val="21"/>
          <w14:textFill>
            <w14:solidFill>
              <w14:schemeClr w14:val="tx1"/>
            </w14:solidFill>
          </w14:textFill>
        </w:rPr>
        <w:t>。</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Start w:id="142" w:name="_Toc304295525"/>
      <w:bookmarkStart w:id="143" w:name="_Toc300934947"/>
      <w:bookmarkStart w:id="144" w:name="_Toc296346662"/>
      <w:bookmarkStart w:id="145" w:name="_Toc296944500"/>
      <w:bookmarkStart w:id="146" w:name="_Toc296503161"/>
      <w:bookmarkStart w:id="147" w:name="_Toc296890989"/>
      <w:bookmarkStart w:id="148" w:name="_Toc297048347"/>
      <w:bookmarkStart w:id="149" w:name="_Toc297123494"/>
      <w:bookmarkStart w:id="150" w:name="_Toc297120461"/>
      <w:bookmarkStart w:id="151" w:name="_Toc297216153"/>
      <w:bookmarkStart w:id="152" w:name="_Toc296891201"/>
      <w:bookmarkStart w:id="153" w:name="_Toc296347160"/>
      <w:bookmarkStart w:id="154" w:name="_Toc303539104"/>
    </w:p>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Pr>
        <w:adjustRightInd w:val="0"/>
        <w:snapToGrid w:val="0"/>
        <w:spacing w:line="56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3</w:t>
      </w:r>
      <w:bookmarkStart w:id="155" w:name="_Toc318581159"/>
      <w:bookmarkStart w:id="156" w:name="_Toc312677990"/>
      <w:r>
        <w:rPr>
          <w:rFonts w:hint="eastAsia"/>
          <w:color w:val="000000" w:themeColor="text1"/>
          <w:sz w:val="21"/>
          <w:szCs w:val="21"/>
          <w14:textFill>
            <w14:solidFill>
              <w14:schemeClr w14:val="tx1"/>
            </w14:solidFill>
          </w14:textFill>
        </w:rPr>
        <w:t>.5.2分包的确定</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允许分包的专业工程包括：</w:t>
      </w:r>
      <w:r>
        <w:rPr>
          <w:rFonts w:hint="eastAsia" w:cs="仿宋_GB2312"/>
          <w:color w:val="000000" w:themeColor="text1"/>
          <w:sz w:val="21"/>
          <w:szCs w:val="21"/>
          <w:u w:val="single"/>
          <w14:textFill>
            <w14:solidFill>
              <w14:schemeClr w14:val="tx1"/>
            </w14:solidFill>
          </w14:textFill>
        </w:rPr>
        <w:t>执行通用合同条款并经发包人确认的项目</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其他关于分包的约定：</w:t>
      </w:r>
      <w:r>
        <w:rPr>
          <w:rFonts w:hint="eastAsia"/>
          <w:color w:val="000000" w:themeColor="text1"/>
          <w:sz w:val="21"/>
          <w:szCs w:val="21"/>
          <w:u w:val="single"/>
          <w14:textFill>
            <w14:solidFill>
              <w14:schemeClr w14:val="tx1"/>
            </w14:solidFill>
          </w14:textFill>
        </w:rPr>
        <w:t xml:space="preserve"> 如承包人擅自分包，分包部分工程的工程款发包人不予支付，由此造成的损失由承包人自行承担。如承包人仍不按照发包人要求整改，发包人有权解除合同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3.5.4 分包合同价款</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关于分包合同价款支付的约定：</w:t>
      </w:r>
      <w:r>
        <w:rPr>
          <w:rFonts w:hint="eastAsia" w:cs="仿宋_GB2312"/>
          <w:color w:val="000000" w:themeColor="text1"/>
          <w:sz w:val="21"/>
          <w:szCs w:val="21"/>
          <w:u w:val="single"/>
          <w14:textFill>
            <w14:solidFill>
              <w14:schemeClr w14:val="tx1"/>
            </w14:solidFill>
          </w14:textFill>
        </w:rPr>
        <w:t></w:t>
      </w:r>
      <w:r>
        <w:rPr>
          <w:rFonts w:hint="eastAsia" w:cs="仿宋_GB2312"/>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bookmarkEnd w:id="155"/>
    <w:bookmarkEnd w:id="156"/>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3.6工程照管与成品、半成品保护</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承包人负责照管工程及工程相关的材料、工程设备的起始时间：</w:t>
      </w:r>
      <w:r>
        <w:rPr>
          <w:rFonts w:hint="eastAsia"/>
          <w:color w:val="000000" w:themeColor="text1"/>
          <w:sz w:val="21"/>
          <w:szCs w:val="21"/>
          <w:u w:val="single"/>
          <w14:textFill>
            <w14:solidFill>
              <w14:schemeClr w14:val="tx1"/>
            </w14:solidFill>
          </w14:textFill>
        </w:rPr>
        <w:t>执行通用合同条款</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3.7履约担保</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承包人是否提供履约担保：</w:t>
      </w:r>
      <w:r>
        <w:rPr>
          <w:rFonts w:hint="eastAsia"/>
          <w:color w:val="000000" w:themeColor="text1"/>
          <w:sz w:val="21"/>
          <w:szCs w:val="21"/>
          <w:u w:val="single"/>
          <w14:textFill>
            <w14:solidFill>
              <w14:schemeClr w14:val="tx1"/>
            </w14:solidFill>
          </w14:textFill>
        </w:rPr>
        <w:t xml:space="preserve">       是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承包人提供履约担保的形式、金额及期限的：</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outlineLvl w:val="2"/>
        <w:rPr>
          <w:rFonts w:cs="楷体_GB2312"/>
          <w:b/>
          <w:bCs/>
          <w:color w:val="000000" w:themeColor="text1"/>
          <w:sz w:val="21"/>
          <w:szCs w:val="21"/>
          <w14:textFill>
            <w14:solidFill>
              <w14:schemeClr w14:val="tx1"/>
            </w14:solidFill>
          </w14:textFill>
        </w:rPr>
      </w:pPr>
      <w:bookmarkStart w:id="157" w:name="_Toc351203636"/>
      <w:r>
        <w:rPr>
          <w:rFonts w:hint="eastAsia" w:cs="楷体_GB2312"/>
          <w:b/>
          <w:bCs/>
          <w:color w:val="000000" w:themeColor="text1"/>
          <w:sz w:val="21"/>
          <w:szCs w:val="21"/>
          <w14:textFill>
            <w14:solidFill>
              <w14:schemeClr w14:val="tx1"/>
            </w14:solidFill>
          </w14:textFill>
        </w:rPr>
        <w:t>4</w:t>
      </w:r>
      <w:bookmarkStart w:id="158" w:name="_Toc296347161"/>
      <w:bookmarkStart w:id="159" w:name="_Toc292559366"/>
      <w:bookmarkStart w:id="160" w:name="_Toc296346663"/>
      <w:bookmarkStart w:id="161" w:name="_Toc296503162"/>
      <w:bookmarkStart w:id="162" w:name="_Toc296944501"/>
      <w:bookmarkStart w:id="163" w:name="_Toc297120462"/>
      <w:bookmarkStart w:id="164" w:name="_Toc292559871"/>
      <w:bookmarkStart w:id="165" w:name="_Toc296890990"/>
      <w:bookmarkStart w:id="166" w:name="_Toc297048348"/>
      <w:bookmarkStart w:id="167" w:name="_Toc267251413"/>
      <w:bookmarkStart w:id="168" w:name="_Toc296891202"/>
      <w:r>
        <w:rPr>
          <w:rFonts w:hint="eastAsia" w:cs="楷体_GB2312"/>
          <w:b/>
          <w:bCs/>
          <w:color w:val="000000" w:themeColor="text1"/>
          <w:sz w:val="21"/>
          <w:szCs w:val="21"/>
          <w14:textFill>
            <w14:solidFill>
              <w14:schemeClr w14:val="tx1"/>
            </w14:solidFill>
          </w14:textFill>
        </w:rPr>
        <w:t>. 监</w:t>
      </w:r>
      <w:bookmarkEnd w:id="158"/>
      <w:bookmarkEnd w:id="159"/>
      <w:bookmarkEnd w:id="160"/>
      <w:bookmarkEnd w:id="161"/>
      <w:bookmarkEnd w:id="162"/>
      <w:bookmarkEnd w:id="163"/>
      <w:bookmarkEnd w:id="164"/>
      <w:bookmarkEnd w:id="165"/>
      <w:bookmarkEnd w:id="166"/>
      <w:bookmarkEnd w:id="167"/>
      <w:bookmarkEnd w:id="168"/>
      <w:r>
        <w:rPr>
          <w:rFonts w:hint="eastAsia" w:cs="楷体_GB2312"/>
          <w:b/>
          <w:bCs/>
          <w:color w:val="000000" w:themeColor="text1"/>
          <w:sz w:val="21"/>
          <w:szCs w:val="21"/>
          <w14:textFill>
            <w14:solidFill>
              <w14:schemeClr w14:val="tx1"/>
            </w14:solidFill>
          </w14:textFill>
        </w:rPr>
        <w:t>理人</w:t>
      </w:r>
      <w:bookmarkEnd w:id="157"/>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4.1监理人的一般规定</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关于监理人的监理内容：</w:t>
      </w:r>
      <w:r>
        <w:rPr>
          <w:rFonts w:hint="eastAsia"/>
          <w:color w:val="000000" w:themeColor="text1"/>
          <w:sz w:val="21"/>
          <w:szCs w:val="21"/>
          <w:u w:val="single"/>
          <w14:textFill>
            <w14:solidFill>
              <w14:schemeClr w14:val="tx1"/>
            </w14:solidFill>
          </w14:textFill>
        </w:rPr>
        <w:t xml:space="preserve">   详见监理合同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关于监理人的监理权限：</w:t>
      </w:r>
      <w:r>
        <w:rPr>
          <w:rFonts w:hint="eastAsia"/>
          <w:color w:val="000000" w:themeColor="text1"/>
          <w:sz w:val="21"/>
          <w:szCs w:val="21"/>
          <w:u w:val="single"/>
          <w14:textFill>
            <w14:solidFill>
              <w14:schemeClr w14:val="tx1"/>
            </w14:solidFill>
          </w14:textFill>
        </w:rPr>
        <w:t xml:space="preserve">   监理单位除按规定和本合同内容以及投标文件确认的材料产品项目，进行监理工程质量、施工进度和工程投资的控制管理外，还对承包人通过本施工合同及投标文件确认的技术、 管理、 主要人员以及投入的主要设备情况和材料的数量与质量进行监理。承包人无论何种原因以书面形式提出调整主要工程技术人员、调换主要材料、品种、规格、质量、数量、重量或技术参数等，均须取得监理单位和发包人代表的书面许可。详细内容按监理合同及监理规范的有关规定执行。 发包人在工程开工前将监理工程师的职责和权限以书面的形式通知承包人。但监理工程师无权解除本合同规定的承包人的任何义务  </w:t>
      </w:r>
      <w:r>
        <w:rPr>
          <w:rFonts w:hint="eastAsia"/>
          <w:color w:val="000000" w:themeColor="text1"/>
          <w:sz w:val="21"/>
          <w:szCs w:val="21"/>
          <w14:textFill>
            <w14:solidFill>
              <w14:schemeClr w14:val="tx1"/>
            </w14:solidFill>
          </w14:textFill>
        </w:rPr>
        <w:t xml:space="preserve">。 </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关于监理人在施工现场的办公场所、生活场所的提供和费用承担的约定：</w:t>
      </w:r>
      <w:r>
        <w:rPr>
          <w:rFonts w:hint="eastAsia"/>
          <w:color w:val="000000" w:themeColor="text1"/>
          <w:sz w:val="21"/>
          <w:szCs w:val="21"/>
          <w:u w:val="single"/>
          <w14:textFill>
            <w14:solidFill>
              <w14:schemeClr w14:val="tx1"/>
            </w14:solidFill>
          </w14:textFill>
        </w:rPr>
        <w:t xml:space="preserve"> 监理人在施工现场的办公场所、生活场所由承包人提供，所发生的的费用由承包人承担 </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4.2 监理人员</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总监理工程师：</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姓    名：</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职    务：</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监理工程师执业资格证书号：</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联系电话：</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电子信箱：</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通信地址：</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关于监理人的其他约定：</w:t>
      </w:r>
      <w:r>
        <w:rPr>
          <w:rFonts w:hint="eastAsia" w:cs="仿宋_GB2312"/>
          <w:color w:val="000000" w:themeColor="text1"/>
          <w:sz w:val="21"/>
          <w:szCs w:val="21"/>
          <w:u w:val="single"/>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 </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4.4商定或确定</w:t>
      </w:r>
    </w:p>
    <w:p>
      <w:pPr>
        <w:adjustRightInd w:val="0"/>
        <w:snapToGrid w:val="0"/>
        <w:spacing w:line="560" w:lineRule="exact"/>
        <w:ind w:firstLine="420" w:firstLineChars="200"/>
        <w:rPr>
          <w:color w:val="000000" w:themeColor="text1"/>
          <w:sz w:val="21"/>
          <w:szCs w:val="21"/>
          <w14:textFill>
            <w14:solidFill>
              <w14:schemeClr w14:val="tx1"/>
            </w14:solidFill>
          </w14:textFill>
        </w:rPr>
      </w:pPr>
      <w:bookmarkStart w:id="169" w:name="_Toc267251418"/>
      <w:r>
        <w:rPr>
          <w:rFonts w:hint="eastAsia"/>
          <w:color w:val="000000" w:themeColor="text1"/>
          <w:sz w:val="21"/>
          <w:szCs w:val="21"/>
          <w14:textFill>
            <w14:solidFill>
              <w14:schemeClr w14:val="tx1"/>
            </w14:solidFill>
          </w14:textFill>
        </w:rPr>
        <w:t>在发包人和承包人不能通过协商达成一致意见时，发包人授权监理人对以下事项进行确定：</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outlineLvl w:val="2"/>
        <w:rPr>
          <w:rFonts w:cs="楷体_GB2312"/>
          <w:b/>
          <w:bCs/>
          <w:color w:val="000000" w:themeColor="text1"/>
          <w:sz w:val="21"/>
          <w:szCs w:val="21"/>
          <w14:textFill>
            <w14:solidFill>
              <w14:schemeClr w14:val="tx1"/>
            </w14:solidFill>
          </w14:textFill>
        </w:rPr>
      </w:pPr>
      <w:r>
        <w:rPr>
          <w:rFonts w:hint="eastAsia" w:cs="楷体_GB2312"/>
          <w:b/>
          <w:bCs/>
          <w:color w:val="000000" w:themeColor="text1"/>
          <w:sz w:val="21"/>
          <w:szCs w:val="21"/>
          <w14:textFill>
            <w14:solidFill>
              <w14:schemeClr w14:val="tx1"/>
            </w14:solidFill>
          </w14:textFill>
        </w:rPr>
        <w:t>5</w:t>
      </w:r>
      <w:bookmarkEnd w:id="169"/>
      <w:bookmarkStart w:id="170" w:name="_Toc292559367"/>
      <w:bookmarkStart w:id="171" w:name="_Toc297120463"/>
      <w:bookmarkStart w:id="172" w:name="_Toc296891203"/>
      <w:bookmarkStart w:id="173" w:name="_Toc297048349"/>
      <w:bookmarkStart w:id="174" w:name="_Toc296347162"/>
      <w:bookmarkStart w:id="175" w:name="_Toc296944502"/>
      <w:bookmarkStart w:id="176" w:name="_Toc296346664"/>
      <w:bookmarkStart w:id="177" w:name="_Toc296503163"/>
      <w:bookmarkStart w:id="178" w:name="_Toc292559872"/>
      <w:bookmarkStart w:id="179" w:name="_Toc296890991"/>
      <w:r>
        <w:rPr>
          <w:rFonts w:hint="eastAsia" w:cs="楷体_GB2312"/>
          <w:b/>
          <w:bCs/>
          <w:color w:val="000000" w:themeColor="text1"/>
          <w:sz w:val="21"/>
          <w:szCs w:val="21"/>
          <w14:textFill>
            <w14:solidFill>
              <w14:schemeClr w14:val="tx1"/>
            </w14:solidFill>
          </w14:textFill>
        </w:rPr>
        <w:t>. 工程质量</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5.1 质量要求</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5</w:t>
      </w:r>
      <w:bookmarkStart w:id="180" w:name="_Toc300934949"/>
      <w:bookmarkStart w:id="181" w:name="_Toc312677997"/>
      <w:bookmarkStart w:id="182" w:name="_Toc318581164"/>
      <w:bookmarkStart w:id="183" w:name="_Toc297216155"/>
      <w:bookmarkStart w:id="184" w:name="_Toc303539106"/>
      <w:bookmarkStart w:id="185" w:name="_Toc297123496"/>
      <w:bookmarkStart w:id="186" w:name="_Toc304295527"/>
      <w:r>
        <w:rPr>
          <w:rFonts w:hint="eastAsia"/>
          <w:color w:val="000000" w:themeColor="text1"/>
          <w:sz w:val="21"/>
          <w:szCs w:val="21"/>
          <w14:textFill>
            <w14:solidFill>
              <w14:schemeClr w14:val="tx1"/>
            </w14:solidFill>
          </w14:textFill>
        </w:rPr>
        <w:t>.1.1 特殊质量标准和要求：</w:t>
      </w:r>
      <w:r>
        <w:rPr>
          <w:rFonts w:hint="eastAsia"/>
          <w:color w:val="000000" w:themeColor="text1"/>
          <w:sz w:val="21"/>
          <w:szCs w:val="21"/>
          <w:u w:val="single"/>
          <w14:textFill>
            <w14:solidFill>
              <w14:schemeClr w14:val="tx1"/>
            </w14:solidFill>
          </w14:textFill>
        </w:rPr>
        <w:t xml:space="preserve">      质量标准</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合格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关于工程奖项的约定：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5.3隐蔽工程检查</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5.3.2承包人提前通知监理人隐蔽工程检查的期限的约定：</w:t>
      </w:r>
      <w:r>
        <w:rPr>
          <w:rFonts w:hint="eastAsia"/>
          <w:color w:val="000000" w:themeColor="text1"/>
          <w:sz w:val="21"/>
          <w:szCs w:val="21"/>
          <w:u w:val="single"/>
          <w14:textFill>
            <w14:solidFill>
              <w14:schemeClr w14:val="tx1"/>
            </w14:solidFill>
          </w14:textFill>
        </w:rPr>
        <w:t xml:space="preserve">  执行通用合同条款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监理人不能按时进行检查时，应提前</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24</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小时提交书面延期要求。</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关于延期最长不得超过：</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48</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小时。</w:t>
      </w:r>
    </w:p>
    <w:p>
      <w:pPr>
        <w:adjustRightInd w:val="0"/>
        <w:snapToGrid w:val="0"/>
        <w:spacing w:line="560" w:lineRule="exact"/>
        <w:outlineLvl w:val="2"/>
        <w:rPr>
          <w:rFonts w:cs="楷体_GB2312"/>
          <w:b/>
          <w:bCs/>
          <w:color w:val="000000" w:themeColor="text1"/>
          <w:sz w:val="21"/>
          <w:szCs w:val="21"/>
          <w14:textFill>
            <w14:solidFill>
              <w14:schemeClr w14:val="tx1"/>
            </w14:solidFill>
          </w14:textFill>
        </w:rPr>
      </w:pPr>
      <w:r>
        <w:rPr>
          <w:rFonts w:hint="eastAsia" w:cs="楷体_GB2312"/>
          <w:b/>
          <w:bCs/>
          <w:color w:val="000000" w:themeColor="text1"/>
          <w:sz w:val="21"/>
          <w:szCs w:val="21"/>
          <w14:textFill>
            <w14:solidFill>
              <w14:schemeClr w14:val="tx1"/>
            </w14:solidFill>
          </w14:textFill>
        </w:rPr>
        <w:t>6. 安全文明施工与环境保护</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6.1安全文明施工</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6.1.1 项目安全生产的达标目标及相应事项的约定：</w:t>
      </w:r>
      <w:r>
        <w:rPr>
          <w:rFonts w:hint="eastAsia"/>
          <w:color w:val="000000" w:themeColor="text1"/>
          <w:sz w:val="21"/>
          <w:szCs w:val="21"/>
          <w:u w:val="single"/>
          <w14:textFill>
            <w14:solidFill>
              <w14:schemeClr w14:val="tx1"/>
            </w14:solidFill>
          </w14:textFill>
        </w:rPr>
        <w:t xml:space="preserve">  执行通用合同条款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6.1.4关于治安保卫的特别约定：</w:t>
      </w:r>
      <w:r>
        <w:rPr>
          <w:rFonts w:hint="eastAsia"/>
          <w:color w:val="000000" w:themeColor="text1"/>
          <w:sz w:val="21"/>
          <w:szCs w:val="21"/>
          <w:u w:val="single"/>
          <w14:textFill>
            <w14:solidFill>
              <w14:schemeClr w14:val="tx1"/>
            </w14:solidFill>
          </w14:textFill>
        </w:rPr>
        <w:t xml:space="preserve"> 执行通用合同条款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关于编制施工场地治安管理计划的约定：</w:t>
      </w:r>
      <w:r>
        <w:rPr>
          <w:rFonts w:hint="eastAsia"/>
          <w:color w:val="000000" w:themeColor="text1"/>
          <w:sz w:val="21"/>
          <w:szCs w:val="21"/>
          <w:u w:val="single"/>
          <w14:textFill>
            <w14:solidFill>
              <w14:schemeClr w14:val="tx1"/>
            </w14:solidFill>
          </w14:textFill>
        </w:rPr>
        <w:t>由承包人承担，发包人配合承包人协调</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6.1.5文明施工</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合同当事人对文明施工的要求：</w:t>
      </w:r>
      <w:r>
        <w:rPr>
          <w:rFonts w:hint="eastAsia"/>
          <w:color w:val="000000" w:themeColor="text1"/>
          <w:sz w:val="21"/>
          <w:szCs w:val="21"/>
          <w:u w:val="single"/>
          <w14:textFill>
            <w14:solidFill>
              <w14:schemeClr w14:val="tx1"/>
            </w14:solidFill>
          </w14:textFill>
        </w:rPr>
        <w:t>扬尘污染防治等责任由承包人承担，满足国家、省、市等有关主管部门针对扬尘污染防治和环保部门出台的最新文件要求，承包人必须无条件执行，其相应费用已包含在签约合同价中，发包人不再另行支付。</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承包人在开工前确保围挡、围墙等安全文明施工措施项目必须符合相关文件及发包人要求；承包人在工程施工期间，应当采取措施保持施工现场平整，物料堆放整齐。如在承包人施工期间，发包人接到投诉及相关部门通报后，承包人应立即停止施工，并提出有效整改措施后方可施工，由此产生的责任由承包人自行承担。施工现场卫生保洁自开工之日起至工程竣工移交结束，切实做好项目管理人员和工人宿舍安全、卫生工作。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达不到相关规定和要求的，承包人需按要求整改，且发包人每次收取承包人 3000 元的违约金，拒不整改或情况恶劣的，每次收取承包人</w:t>
      </w:r>
      <w:r>
        <w:rPr>
          <w:rFonts w:hint="eastAsia"/>
          <w:color w:val="000000" w:themeColor="text1"/>
          <w:sz w:val="21"/>
          <w:szCs w:val="21"/>
          <w:u w:val="single"/>
          <w:lang w:val="en-US" w:eastAsia="zh-CN"/>
          <w14:textFill>
            <w14:solidFill>
              <w14:schemeClr w14:val="tx1"/>
            </w14:solidFill>
          </w14:textFill>
        </w:rPr>
        <w:t>1万</w:t>
      </w:r>
      <w:r>
        <w:rPr>
          <w:rFonts w:hint="eastAsia"/>
          <w:color w:val="000000" w:themeColor="text1"/>
          <w:sz w:val="21"/>
          <w:szCs w:val="21"/>
          <w:u w:val="single"/>
          <w14:textFill>
            <w14:solidFill>
              <w14:schemeClr w14:val="tx1"/>
            </w14:solidFill>
          </w14:textFill>
        </w:rPr>
        <w:t>元违约金</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6.1.6关于安全文明施工费支付比例和支付期限的约定：</w:t>
      </w:r>
      <w:r>
        <w:rPr>
          <w:rFonts w:hint="eastAsia"/>
          <w:color w:val="000000" w:themeColor="text1"/>
          <w:sz w:val="21"/>
          <w:szCs w:val="21"/>
          <w:u w:val="single"/>
          <w14:textFill>
            <w14:solidFill>
              <w14:schemeClr w14:val="tx1"/>
            </w14:solidFill>
          </w14:textFill>
        </w:rPr>
        <w:t xml:space="preserve"> 按有关部门规定执行 </w:t>
      </w:r>
      <w:r>
        <w:rPr>
          <w:rFonts w:hint="eastAsia"/>
          <w:color w:val="000000" w:themeColor="text1"/>
          <w:sz w:val="21"/>
          <w:szCs w:val="21"/>
          <w14:textFill>
            <w14:solidFill>
              <w14:schemeClr w14:val="tx1"/>
            </w14:solidFill>
          </w14:textFill>
        </w:rPr>
        <w:t>。</w:t>
      </w:r>
    </w:p>
    <w:bookmarkEnd w:id="180"/>
    <w:bookmarkEnd w:id="181"/>
    <w:bookmarkEnd w:id="182"/>
    <w:bookmarkEnd w:id="183"/>
    <w:bookmarkEnd w:id="184"/>
    <w:bookmarkEnd w:id="185"/>
    <w:bookmarkEnd w:id="186"/>
    <w:p>
      <w:pPr>
        <w:adjustRightInd w:val="0"/>
        <w:snapToGrid w:val="0"/>
        <w:spacing w:line="560" w:lineRule="exact"/>
        <w:outlineLvl w:val="2"/>
        <w:rPr>
          <w:rFonts w:cs="楷体_GB2312"/>
          <w:b/>
          <w:bCs/>
          <w:color w:val="000000" w:themeColor="text1"/>
          <w:sz w:val="21"/>
          <w:szCs w:val="21"/>
          <w14:textFill>
            <w14:solidFill>
              <w14:schemeClr w14:val="tx1"/>
            </w14:solidFill>
          </w14:textFill>
        </w:rPr>
      </w:pPr>
      <w:bookmarkStart w:id="187" w:name="_Toc351203639"/>
      <w:r>
        <w:rPr>
          <w:rFonts w:hint="eastAsia" w:cs="楷体_GB2312"/>
          <w:b/>
          <w:bCs/>
          <w:color w:val="000000" w:themeColor="text1"/>
          <w:sz w:val="21"/>
          <w:szCs w:val="21"/>
          <w14:textFill>
            <w14:solidFill>
              <w14:schemeClr w14:val="tx1"/>
            </w14:solidFill>
          </w14:textFill>
        </w:rPr>
        <w:t>7. 工期和进度</w:t>
      </w:r>
      <w:bookmarkEnd w:id="187"/>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7.1 施工组织设计</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7.1.1 合同当事人约定的施工组织设计应包括的其他内容：</w:t>
      </w:r>
      <w:r>
        <w:rPr>
          <w:rFonts w:hint="eastAsia"/>
          <w:color w:val="000000" w:themeColor="text1"/>
          <w:sz w:val="21"/>
          <w:szCs w:val="21"/>
          <w:u w:val="single"/>
          <w14:textFill>
            <w14:solidFill>
              <w14:schemeClr w14:val="tx1"/>
            </w14:solidFill>
          </w14:textFill>
        </w:rPr>
        <w:t xml:space="preserve">  双代号网络图、总进度计划说明书及资金需求预测等相关资料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7.1.2 施工组织设计的提交和修改</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承包人提交详细施工组织设计的期限的约定：</w:t>
      </w:r>
      <w:r>
        <w:rPr>
          <w:rFonts w:hint="eastAsia"/>
          <w:color w:val="000000" w:themeColor="text1"/>
          <w:sz w:val="21"/>
          <w:szCs w:val="21"/>
          <w:u w:val="single"/>
          <w14:textFill>
            <w14:solidFill>
              <w14:schemeClr w14:val="tx1"/>
            </w14:solidFill>
          </w14:textFill>
        </w:rPr>
        <w:t>开工前十日内</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发包人和监理人在收到详细的施工组织设计后确认或提出修改意见的期限：</w:t>
      </w:r>
      <w:r>
        <w:rPr>
          <w:rFonts w:hint="eastAsia"/>
          <w:color w:val="000000" w:themeColor="text1"/>
          <w:sz w:val="21"/>
          <w:szCs w:val="21"/>
          <w:u w:val="single"/>
          <w14:textFill>
            <w14:solidFill>
              <w14:schemeClr w14:val="tx1"/>
            </w14:solidFill>
          </w14:textFill>
        </w:rPr>
        <w:t>执行通用合同条款</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7</w:t>
      </w:r>
      <w:bookmarkStart w:id="188" w:name="_Toc297123514"/>
      <w:bookmarkStart w:id="189" w:name="_Toc303539123"/>
      <w:bookmarkStart w:id="190" w:name="_Toc312678005"/>
      <w:bookmarkStart w:id="191" w:name="_Toc297216173"/>
      <w:bookmarkStart w:id="192" w:name="_Toc304295541"/>
      <w:bookmarkStart w:id="193" w:name="_Toc300934966"/>
      <w:bookmarkStart w:id="194" w:name="_Toc312677479"/>
      <w:r>
        <w:rPr>
          <w:rFonts w:hint="eastAsia" w:cs="仿宋_GB2312"/>
          <w:b/>
          <w:bCs/>
          <w:color w:val="000000" w:themeColor="text1"/>
          <w:sz w:val="21"/>
          <w:szCs w:val="21"/>
          <w14:textFill>
            <w14:solidFill>
              <w14:schemeClr w14:val="tx1"/>
            </w14:solidFill>
          </w14:textFill>
        </w:rPr>
        <w:t>.2 施工进度计划</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7.2.2 施工进度计划的修订</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发包人和监理人在收到修订的施工进度计划后确认或提出修改意见的期限：</w:t>
      </w:r>
      <w:r>
        <w:rPr>
          <w:rFonts w:hint="eastAsia"/>
          <w:color w:val="000000" w:themeColor="text1"/>
          <w:sz w:val="21"/>
          <w:szCs w:val="21"/>
          <w:u w:val="single"/>
          <w14:textFill>
            <w14:solidFill>
              <w14:schemeClr w14:val="tx1"/>
            </w14:solidFill>
          </w14:textFill>
        </w:rPr>
        <w:t xml:space="preserve"> 执行通用合同条款</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7.3 开工</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7.3.1 开工准备</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关于承包人提交工程开工报审表的期限：</w:t>
      </w:r>
      <w:r>
        <w:rPr>
          <w:rFonts w:hint="eastAsia"/>
          <w:color w:val="000000" w:themeColor="text1"/>
          <w:sz w:val="21"/>
          <w:szCs w:val="21"/>
          <w:u w:val="single"/>
          <w14:textFill>
            <w14:solidFill>
              <w14:schemeClr w14:val="tx1"/>
            </w14:solidFill>
          </w14:textFill>
        </w:rPr>
        <w:t xml:space="preserve">   执行通用合同条款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关于发包人应完成的其他开工准备工作及期限：</w:t>
      </w:r>
      <w:r>
        <w:rPr>
          <w:rFonts w:hint="eastAsia"/>
          <w:color w:val="000000" w:themeColor="text1"/>
          <w:sz w:val="21"/>
          <w:szCs w:val="21"/>
          <w:u w:val="single"/>
          <w14:textFill>
            <w14:solidFill>
              <w14:schemeClr w14:val="tx1"/>
            </w14:solidFill>
          </w14:textFill>
        </w:rPr>
        <w:t xml:space="preserve"> 执行通用合同条款</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关于承包人应完成的其他开工准备工作及期限：</w:t>
      </w:r>
      <w:r>
        <w:rPr>
          <w:rFonts w:hint="eastAsia"/>
          <w:color w:val="000000" w:themeColor="text1"/>
          <w:sz w:val="21"/>
          <w:szCs w:val="21"/>
          <w:u w:val="single"/>
          <w14:textFill>
            <w14:solidFill>
              <w14:schemeClr w14:val="tx1"/>
            </w14:solidFill>
          </w14:textFill>
        </w:rPr>
        <w:t>开工前七日完成满足施工要求的临时设施</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7.3.2开工通知</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因发包人原因造成监理人未能在计划开工日期之日起</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天内发出开工通知的，承包人有权提出价格调整要求，或者解除合同。</w:t>
      </w:r>
    </w:p>
    <w:bookmarkEnd w:id="188"/>
    <w:bookmarkEnd w:id="189"/>
    <w:bookmarkEnd w:id="190"/>
    <w:bookmarkEnd w:id="191"/>
    <w:bookmarkEnd w:id="192"/>
    <w:bookmarkEnd w:id="193"/>
    <w:bookmarkEnd w:id="194"/>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7.4 测量放线</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7.4.1发包人通过监理人向承包人提供测量基准点、基准线和水准点及其书面资料的期限：</w:t>
      </w:r>
      <w:r>
        <w:rPr>
          <w:rFonts w:hint="eastAsia"/>
          <w:color w:val="000000" w:themeColor="text1"/>
          <w:sz w:val="21"/>
          <w:szCs w:val="21"/>
          <w:u w:val="single"/>
          <w14:textFill>
            <w14:solidFill>
              <w14:schemeClr w14:val="tx1"/>
            </w14:solidFill>
          </w14:textFill>
        </w:rPr>
        <w:t>执行通用合同条款</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7.5 工期延误</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7.5.1 因发包人原因导致工期延误</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（7）因发包人原因导致工期延误的其他情形：</w:t>
      </w:r>
      <w:r>
        <w:rPr>
          <w:rFonts w:hint="eastAsia"/>
          <w:color w:val="000000" w:themeColor="text1"/>
          <w:sz w:val="21"/>
          <w:szCs w:val="21"/>
          <w:u w:val="single"/>
          <w14:textFill>
            <w14:solidFill>
              <w14:schemeClr w14:val="tx1"/>
            </w14:solidFill>
          </w14:textFill>
        </w:rPr>
        <w:t>因发包人原因导致工期延误，发包人应同意工期相应顺延，发包人不承担任何费用和损失</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7.5.2 因承包人原因导致工期延误</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因承包人原因造成工期延误，逾期竣工违约金的计算方法为：</w:t>
      </w:r>
      <w:r>
        <w:rPr>
          <w:rFonts w:hint="eastAsia"/>
          <w:color w:val="000000" w:themeColor="text1"/>
          <w:sz w:val="21"/>
          <w:szCs w:val="21"/>
          <w:u w:val="single"/>
          <w14:textFill>
            <w14:solidFill>
              <w14:schemeClr w14:val="tx1"/>
            </w14:solidFill>
          </w14:textFill>
        </w:rPr>
        <w:t xml:space="preserve"> 发包人将按施工组织设计既定的时间节点考核，承包人须按上报的施工组织设计既定的时间节点完成工程进度，否则每延期一日承包人应向发包人支付 </w:t>
      </w:r>
      <w:r>
        <w:rPr>
          <w:rFonts w:hint="eastAsia"/>
          <w:color w:val="FF0000"/>
          <w:sz w:val="21"/>
          <w:szCs w:val="21"/>
          <w:u w:val="single"/>
          <w:lang w:val="en-US" w:eastAsia="zh-CN"/>
        </w:rPr>
        <w:t>1</w:t>
      </w:r>
      <w:r>
        <w:rPr>
          <w:rFonts w:hint="eastAsia"/>
          <w:color w:val="FF0000"/>
          <w:sz w:val="21"/>
          <w:szCs w:val="21"/>
          <w:u w:val="single"/>
        </w:rPr>
        <w:t>000 元</w:t>
      </w:r>
      <w:r>
        <w:rPr>
          <w:rFonts w:hint="eastAsia"/>
          <w:color w:val="000000" w:themeColor="text1"/>
          <w:sz w:val="21"/>
          <w:szCs w:val="21"/>
          <w:u w:val="single"/>
          <w14:textFill>
            <w14:solidFill>
              <w14:schemeClr w14:val="tx1"/>
            </w14:solidFill>
          </w14:textFill>
        </w:rPr>
        <w:t>的违约金，节点工期延期15天以上的视为承包人无能力按招标文件履行合同，发包人有权代为实施或解除合同；如发包人代为实施，实际产生费用由承包人承担，并收取承包人完成该项工作同等额度的违约金。由此条款造成的违约金按阶段工期进行考核，如按阶段工期约定完工的，不予扣除节点工期延期违约金，如未按阶段工期约定完工的，按累计的节点工期延期违约金一次性扣除。</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承包人因阶段工期延误，发包人三次发函，仍达不到发包人要求，视为承包人违约，发包人有权解除合同。</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FF0000"/>
          <w:sz w:val="21"/>
          <w:szCs w:val="21"/>
          <w:u w:val="single"/>
        </w:rPr>
        <w:t xml:space="preserve">工程每延期竣工一天，承包人支付发包人合同总金额的百分之一违约金；工程延期 10 日以上的，承包人每日按合同总金额的百分之二向发包人支付违约金； 延期竣工 30 天以上的， 承包人每日按合同价款的百分之三向发包人支付违约金，不予退还其履约保证金并且发包人有权解除合同，并要求承包人赔偿所有损失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因承包人原因造成工期延误，逾期竣工违约金的上限：</w:t>
      </w:r>
      <w:r>
        <w:rPr>
          <w:rFonts w:hint="eastAsia"/>
          <w:color w:val="000000" w:themeColor="text1"/>
          <w:sz w:val="21"/>
          <w:szCs w:val="21"/>
          <w:u w:val="single"/>
          <w14:textFill>
            <w14:solidFill>
              <w14:schemeClr w14:val="tx1"/>
            </w14:solidFill>
          </w14:textFill>
        </w:rPr>
        <w:t xml:space="preserve">   结算价5%    </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7</w:t>
      </w:r>
      <w:bookmarkStart w:id="195" w:name="_Toc300934971"/>
      <w:bookmarkStart w:id="196" w:name="_Toc303539128"/>
      <w:bookmarkStart w:id="197" w:name="_Toc297216178"/>
      <w:bookmarkStart w:id="198" w:name="_Toc297123519"/>
      <w:bookmarkStart w:id="199" w:name="_Toc304295549"/>
      <w:bookmarkStart w:id="200" w:name="_Toc312678015"/>
      <w:r>
        <w:rPr>
          <w:rFonts w:hint="eastAsia" w:cs="仿宋_GB2312"/>
          <w:b/>
          <w:bCs/>
          <w:color w:val="000000" w:themeColor="text1"/>
          <w:sz w:val="21"/>
          <w:szCs w:val="21"/>
          <w14:textFill>
            <w14:solidFill>
              <w14:schemeClr w14:val="tx1"/>
            </w14:solidFill>
          </w14:textFill>
        </w:rPr>
        <w:t>.6 不</w:t>
      </w:r>
      <w:bookmarkEnd w:id="195"/>
      <w:bookmarkEnd w:id="196"/>
      <w:bookmarkEnd w:id="197"/>
      <w:bookmarkEnd w:id="198"/>
      <w:bookmarkEnd w:id="199"/>
      <w:bookmarkEnd w:id="200"/>
      <w:r>
        <w:rPr>
          <w:rFonts w:hint="eastAsia" w:cs="仿宋_GB2312"/>
          <w:b/>
          <w:bCs/>
          <w:color w:val="000000" w:themeColor="text1"/>
          <w:sz w:val="21"/>
          <w:szCs w:val="21"/>
          <w14:textFill>
            <w14:solidFill>
              <w14:schemeClr w14:val="tx1"/>
            </w14:solidFill>
          </w14:textFill>
        </w:rPr>
        <w:t>利物质条件</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bookmarkStart w:id="201" w:name="_Toc303539129"/>
      <w:bookmarkStart w:id="202" w:name="_Toc297123520"/>
      <w:bookmarkStart w:id="203" w:name="_Toc300934972"/>
      <w:bookmarkStart w:id="204" w:name="_Toc297216179"/>
      <w:bookmarkStart w:id="205" w:name="_Toc318581172"/>
      <w:bookmarkStart w:id="206" w:name="_Toc312678016"/>
      <w:bookmarkStart w:id="207" w:name="_Toc304295550"/>
      <w:r>
        <w:rPr>
          <w:rFonts w:hint="eastAsia"/>
          <w:color w:val="000000" w:themeColor="text1"/>
          <w:sz w:val="21"/>
          <w:szCs w:val="21"/>
          <w14:textFill>
            <w14:solidFill>
              <w14:schemeClr w14:val="tx1"/>
            </w14:solidFill>
          </w14:textFill>
        </w:rPr>
        <w:t>不利物质条件的其他情形和有关约定：</w:t>
      </w:r>
      <w:r>
        <w:rPr>
          <w:rFonts w:hint="eastAsia"/>
          <w:color w:val="000000" w:themeColor="text1"/>
          <w:sz w:val="21"/>
          <w:szCs w:val="21"/>
          <w:u w:val="single"/>
          <w14:textFill>
            <w14:solidFill>
              <w14:schemeClr w14:val="tx1"/>
            </w14:solidFill>
          </w14:textFill>
        </w:rPr>
        <w:t xml:space="preserve">  执行通用合同条款 </w:t>
      </w:r>
      <w:r>
        <w:rPr>
          <w:rFonts w:hint="eastAsia"/>
          <w:color w:val="000000" w:themeColor="text1"/>
          <w:sz w:val="21"/>
          <w:szCs w:val="21"/>
          <w14:textFill>
            <w14:solidFill>
              <w14:schemeClr w14:val="tx1"/>
            </w14:solidFill>
          </w14:textFill>
        </w:rPr>
        <w:t>。</w:t>
      </w:r>
    </w:p>
    <w:bookmarkEnd w:id="201"/>
    <w:bookmarkEnd w:id="202"/>
    <w:bookmarkEnd w:id="203"/>
    <w:bookmarkEnd w:id="204"/>
    <w:bookmarkEnd w:id="205"/>
    <w:bookmarkEnd w:id="206"/>
    <w:bookmarkEnd w:id="207"/>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7</w:t>
      </w:r>
      <w:bookmarkStart w:id="208" w:name="_Toc304295551"/>
      <w:bookmarkStart w:id="209" w:name="_Toc297216180"/>
      <w:bookmarkStart w:id="210" w:name="_Toc312678017"/>
      <w:bookmarkStart w:id="211" w:name="_Toc300934973"/>
      <w:bookmarkStart w:id="212" w:name="_Toc297123521"/>
      <w:bookmarkStart w:id="213" w:name="_Toc303539130"/>
      <w:r>
        <w:rPr>
          <w:rFonts w:hint="eastAsia" w:cs="仿宋_GB2312"/>
          <w:b/>
          <w:bCs/>
          <w:color w:val="000000" w:themeColor="text1"/>
          <w:sz w:val="21"/>
          <w:szCs w:val="21"/>
          <w14:textFill>
            <w14:solidFill>
              <w14:schemeClr w14:val="tx1"/>
            </w14:solidFill>
          </w14:textFill>
        </w:rPr>
        <w:t>.7异常恶劣的气候条件</w:t>
      </w:r>
    </w:p>
    <w:bookmarkEnd w:id="208"/>
    <w:bookmarkEnd w:id="209"/>
    <w:bookmarkEnd w:id="210"/>
    <w:bookmarkEnd w:id="211"/>
    <w:bookmarkEnd w:id="212"/>
    <w:bookmarkEnd w:id="213"/>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发包人和承包人同意以下情形视为异常恶劣的气候条件：</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（1）日降雨量大于 50mm 的雨日超过 1 天；</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（2）日气温超过 38℃的高温大于 3 天；</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（3）日气温低于-20℃的严寒大于 3 天；</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（4）造成工程损坏的冰雹和大雪灾害：日降雪量 10mm 及以上；</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u w:val="single"/>
          <w14:textFill>
            <w14:solidFill>
              <w14:schemeClr w14:val="tx1"/>
            </w14:solidFill>
          </w14:textFill>
        </w:rPr>
        <w:t>（5）其它异常恶劣气候灾害</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7.9提前竣工的奖励</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7.9.2提前竣工的奖励：</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outlineLvl w:val="2"/>
        <w:rPr>
          <w:rFonts w:cs="楷体_GB2312"/>
          <w:b/>
          <w:bCs/>
          <w:color w:val="000000" w:themeColor="text1"/>
          <w:sz w:val="21"/>
          <w:szCs w:val="21"/>
          <w14:textFill>
            <w14:solidFill>
              <w14:schemeClr w14:val="tx1"/>
            </w14:solidFill>
          </w14:textFill>
        </w:rPr>
      </w:pPr>
      <w:bookmarkStart w:id="214" w:name="_Toc351203640"/>
      <w:r>
        <w:rPr>
          <w:rFonts w:hint="eastAsia" w:cs="楷体_GB2312"/>
          <w:b/>
          <w:bCs/>
          <w:color w:val="000000" w:themeColor="text1"/>
          <w:sz w:val="21"/>
          <w:szCs w:val="21"/>
          <w14:textFill>
            <w14:solidFill>
              <w14:schemeClr w14:val="tx1"/>
            </w14:solidFill>
          </w14:textFill>
        </w:rPr>
        <w:t>8. 材料与设备</w:t>
      </w:r>
      <w:bookmarkEnd w:id="214"/>
    </w:p>
    <w:bookmarkEnd w:id="170"/>
    <w:bookmarkEnd w:id="171"/>
    <w:bookmarkEnd w:id="172"/>
    <w:bookmarkEnd w:id="173"/>
    <w:bookmarkEnd w:id="174"/>
    <w:bookmarkEnd w:id="175"/>
    <w:bookmarkEnd w:id="176"/>
    <w:bookmarkEnd w:id="177"/>
    <w:bookmarkEnd w:id="178"/>
    <w:bookmarkEnd w:id="179"/>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8</w:t>
      </w:r>
      <w:bookmarkStart w:id="215" w:name="_Toc304295556"/>
      <w:bookmarkStart w:id="216" w:name="_Toc292559372"/>
      <w:bookmarkStart w:id="217" w:name="_Toc296944506"/>
      <w:bookmarkStart w:id="218" w:name="_Toc303539136"/>
      <w:bookmarkStart w:id="219" w:name="_Toc297048353"/>
      <w:bookmarkStart w:id="220" w:name="_Toc296346668"/>
      <w:bookmarkStart w:id="221" w:name="_Toc296347166"/>
      <w:bookmarkStart w:id="222" w:name="_Toc297120467"/>
      <w:bookmarkStart w:id="223" w:name="_Toc300934979"/>
      <w:bookmarkStart w:id="224" w:name="_Toc296891207"/>
      <w:bookmarkStart w:id="225" w:name="_Toc312678019"/>
      <w:bookmarkStart w:id="226" w:name="_Toc297216186"/>
      <w:bookmarkStart w:id="227" w:name="_Toc292559877"/>
      <w:bookmarkStart w:id="228" w:name="_Toc296890995"/>
      <w:bookmarkStart w:id="229" w:name="_Toc312677493"/>
      <w:bookmarkStart w:id="230" w:name="_Toc297123527"/>
      <w:bookmarkStart w:id="231" w:name="_Toc296503167"/>
      <w:bookmarkStart w:id="232" w:name="_Toc280868654"/>
      <w:bookmarkStart w:id="233" w:name="_Toc280868656"/>
      <w:bookmarkStart w:id="234" w:name="_Toc280868655"/>
      <w:bookmarkStart w:id="235" w:name="_Toc267251424"/>
      <w:r>
        <w:rPr>
          <w:rFonts w:hint="eastAsia" w:cs="仿宋_GB2312"/>
          <w:b/>
          <w:bCs/>
          <w:color w:val="000000" w:themeColor="text1"/>
          <w:sz w:val="21"/>
          <w:szCs w:val="21"/>
          <w14:textFill>
            <w14:solidFill>
              <w14:schemeClr w14:val="tx1"/>
            </w14:solidFill>
          </w14:textFill>
        </w:rPr>
        <w:t>.4材料与工程设备的保管与使用</w:t>
      </w:r>
    </w:p>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8</w:t>
      </w:r>
      <w:bookmarkStart w:id="236" w:name="_Toc292559373"/>
      <w:bookmarkStart w:id="237" w:name="_Toc292559878"/>
      <w:bookmarkStart w:id="238" w:name="_Toc304295557"/>
      <w:bookmarkStart w:id="239" w:name="_Toc296503168"/>
      <w:bookmarkStart w:id="240" w:name="_Toc296346669"/>
      <w:bookmarkStart w:id="241" w:name="_Toc303539137"/>
      <w:bookmarkStart w:id="242" w:name="_Toc296890996"/>
      <w:bookmarkStart w:id="243" w:name="_Toc318581173"/>
      <w:bookmarkStart w:id="244" w:name="_Toc297048354"/>
      <w:bookmarkStart w:id="245" w:name="_Toc312677494"/>
      <w:bookmarkStart w:id="246" w:name="_Toc300934980"/>
      <w:bookmarkStart w:id="247" w:name="_Toc312678020"/>
      <w:bookmarkStart w:id="248" w:name="_Toc296944507"/>
      <w:bookmarkStart w:id="249" w:name="_Toc297123528"/>
      <w:bookmarkStart w:id="250" w:name="_Toc297120468"/>
      <w:bookmarkStart w:id="251" w:name="_Toc297216187"/>
      <w:bookmarkStart w:id="252" w:name="_Toc296347167"/>
      <w:bookmarkStart w:id="253" w:name="_Toc296891208"/>
      <w:r>
        <w:rPr>
          <w:rFonts w:hint="eastAsia"/>
          <w:color w:val="000000" w:themeColor="text1"/>
          <w:sz w:val="21"/>
          <w:szCs w:val="21"/>
          <w14:textFill>
            <w14:solidFill>
              <w14:schemeClr w14:val="tx1"/>
            </w14:solidFill>
          </w14:textFill>
        </w:rPr>
        <w:t>.4.1发包人供应的材料设备的保管费用的承担：</w:t>
      </w:r>
      <w:r>
        <w:rPr>
          <w:rFonts w:hint="eastAsia"/>
          <w:color w:val="000000" w:themeColor="text1"/>
          <w:sz w:val="21"/>
          <w:szCs w:val="21"/>
          <w:u w:val="single"/>
          <w14:textFill>
            <w14:solidFill>
              <w14:schemeClr w14:val="tx1"/>
            </w14:solidFill>
          </w14:textFill>
        </w:rPr>
        <w:t>发包人不提供材料与工程设备</w:t>
      </w:r>
      <w:r>
        <w:rPr>
          <w:rFonts w:hint="eastAsia"/>
          <w:color w:val="000000" w:themeColor="text1"/>
          <w:sz w:val="21"/>
          <w:szCs w:val="21"/>
          <w14:textFill>
            <w14:solidFill>
              <w14:schemeClr w14:val="tx1"/>
            </w14:solidFill>
          </w14:textFill>
        </w:rPr>
        <w:t>。</w:t>
      </w:r>
      <w:bookmarkEnd w:id="236"/>
      <w:bookmarkEnd w:id="237"/>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8.6样品</w:t>
      </w:r>
    </w:p>
    <w:p>
      <w:pPr>
        <w:adjustRightInd w:val="0"/>
        <w:snapToGrid w:val="0"/>
        <w:spacing w:line="560" w:lineRule="exact"/>
        <w:ind w:firstLine="422" w:firstLineChars="200"/>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8.6.1样品的报送与封存</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需要承包人报送样品的材料或工程设备，样品的种类、名称、规格、数量要求：</w:t>
      </w:r>
      <w:r>
        <w:rPr>
          <w:rFonts w:hint="eastAsia"/>
          <w:color w:val="000000" w:themeColor="text1"/>
          <w:sz w:val="21"/>
          <w:szCs w:val="21"/>
          <w:u w:val="single"/>
          <w14:textFill>
            <w14:solidFill>
              <w14:schemeClr w14:val="tx1"/>
            </w14:solidFill>
          </w14:textFill>
        </w:rPr>
        <w:t xml:space="preserve">  （1）在工程实施过程中按发包人要求时间或使用前的合理期限内提供，逾期未提供按每延迟一天，</w:t>
      </w:r>
      <w:r>
        <w:rPr>
          <w:rFonts w:hint="eastAsia"/>
          <w:color w:val="FF0000"/>
          <w:sz w:val="21"/>
          <w:szCs w:val="21"/>
          <w:u w:val="single"/>
        </w:rPr>
        <w:t>罚款</w:t>
      </w:r>
      <w:r>
        <w:rPr>
          <w:rFonts w:hint="eastAsia"/>
          <w:color w:val="FF0000"/>
          <w:sz w:val="21"/>
          <w:szCs w:val="21"/>
          <w:u w:val="single"/>
          <w:lang w:val="en-US" w:eastAsia="zh-CN"/>
        </w:rPr>
        <w:t>1</w:t>
      </w:r>
      <w:r>
        <w:rPr>
          <w:rFonts w:hint="eastAsia"/>
          <w:color w:val="FF0000"/>
          <w:sz w:val="21"/>
          <w:szCs w:val="21"/>
          <w:u w:val="single"/>
        </w:rPr>
        <w:t>000元</w:t>
      </w:r>
      <w:r>
        <w:rPr>
          <w:rFonts w:hint="eastAsia"/>
          <w:color w:val="000000" w:themeColor="text1"/>
          <w:sz w:val="21"/>
          <w:szCs w:val="21"/>
          <w:u w:val="single"/>
          <w14:textFill>
            <w14:solidFill>
              <w14:schemeClr w14:val="tx1"/>
            </w14:solidFill>
          </w14:textFill>
        </w:rPr>
        <w:t>；承包人所使用的材料在进场前，须报送样品经监理单位及发包人认可，发包人有权组织相关专家对承包人投标时所提供的产品技术标准、品牌、质量证明材料等进行检查检测论证，承包人必须无条件服从发包人组织的专家论证结果，且专家论证费用由承包人承担，考虑在签约合同价中。如样品被认可，所报样品经发包人、承包人、监理人共同签字封样，在现场留样间留存，作为验收依据，留样间由施工单位提供，监理单位负责看管。如样品不被认可，每发生一次收取</w:t>
      </w:r>
      <w:r>
        <w:rPr>
          <w:rFonts w:hint="eastAsia"/>
          <w:color w:val="FF0000"/>
          <w:sz w:val="21"/>
          <w:szCs w:val="21"/>
          <w:u w:val="single"/>
        </w:rPr>
        <w:t>违约金</w:t>
      </w:r>
      <w:r>
        <w:rPr>
          <w:rFonts w:hint="eastAsia"/>
          <w:color w:val="FF0000"/>
          <w:sz w:val="21"/>
          <w:szCs w:val="21"/>
          <w:u w:val="single"/>
          <w:lang w:val="en-US" w:eastAsia="zh-CN"/>
        </w:rPr>
        <w:t>1</w:t>
      </w:r>
      <w:r>
        <w:rPr>
          <w:rFonts w:hint="eastAsia"/>
          <w:color w:val="FF0000"/>
          <w:sz w:val="21"/>
          <w:szCs w:val="21"/>
          <w:u w:val="single"/>
        </w:rPr>
        <w:t>万元</w:t>
      </w:r>
      <w:r>
        <w:rPr>
          <w:rFonts w:hint="eastAsia"/>
          <w:color w:val="000000" w:themeColor="text1"/>
          <w:sz w:val="21"/>
          <w:szCs w:val="21"/>
          <w:u w:val="single"/>
          <w14:textFill>
            <w14:solidFill>
              <w14:schemeClr w14:val="tx1"/>
            </w14:solidFill>
          </w14:textFill>
        </w:rPr>
        <w:t>，且发包人有权解除合同，所造成的损失由承包人自行承担。</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2）由承包人使用的品牌产品导致的设计变化，由其负责更改深化，承包人必须提供满足用户实际需要的更优（或者性能实质上不低于的）技术方案或者设备配置，且此方案或配置须发包人审核认可后方可实施，由此导致的工程变更费用增加，由承包人自行承担，由此导致的工程变更费用减少，据实减少</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8.8施工设备和临时设施</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8.8.1 承包人提供的施工设备和临时设施</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关于修建临时设施费用承担的约定：</w:t>
      </w:r>
      <w:r>
        <w:rPr>
          <w:rFonts w:hint="eastAsia"/>
          <w:color w:val="000000" w:themeColor="text1"/>
          <w:sz w:val="21"/>
          <w:szCs w:val="21"/>
          <w:u w:val="single"/>
          <w14:textFill>
            <w14:solidFill>
              <w14:schemeClr w14:val="tx1"/>
            </w14:solidFill>
          </w14:textFill>
        </w:rPr>
        <w:t xml:space="preserve"> 修建临时设施产生的所有费用，已包含在签约合同价之内，由承包人承担 </w:t>
      </w:r>
      <w:r>
        <w:rPr>
          <w:rFonts w:hint="eastAsia"/>
          <w:color w:val="000000" w:themeColor="text1"/>
          <w:sz w:val="21"/>
          <w:szCs w:val="21"/>
          <w14:textFill>
            <w14:solidFill>
              <w14:schemeClr w14:val="tx1"/>
            </w14:solidFill>
          </w14:textFill>
        </w:rPr>
        <w:t>。</w:t>
      </w:r>
    </w:p>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Pr>
        <w:adjustRightInd w:val="0"/>
        <w:snapToGrid w:val="0"/>
        <w:spacing w:line="560" w:lineRule="exact"/>
        <w:outlineLvl w:val="2"/>
        <w:rPr>
          <w:rFonts w:cs="楷体_GB2312"/>
          <w:b/>
          <w:bCs/>
          <w:color w:val="000000" w:themeColor="text1"/>
          <w:sz w:val="21"/>
          <w:szCs w:val="21"/>
          <w14:textFill>
            <w14:solidFill>
              <w14:schemeClr w14:val="tx1"/>
            </w14:solidFill>
          </w14:textFill>
        </w:rPr>
      </w:pPr>
      <w:bookmarkStart w:id="254" w:name="_Toc351203641"/>
      <w:r>
        <w:rPr>
          <w:rFonts w:hint="eastAsia" w:cs="楷体_GB2312"/>
          <w:b/>
          <w:bCs/>
          <w:color w:val="000000" w:themeColor="text1"/>
          <w:sz w:val="21"/>
          <w:szCs w:val="21"/>
          <w14:textFill>
            <w14:solidFill>
              <w14:schemeClr w14:val="tx1"/>
            </w14:solidFill>
          </w14:textFill>
        </w:rPr>
        <w:t>9</w:t>
      </w:r>
      <w:bookmarkEnd w:id="233"/>
      <w:bookmarkEnd w:id="234"/>
      <w:bookmarkEnd w:id="235"/>
      <w:bookmarkStart w:id="255" w:name="_Toc303539139"/>
      <w:bookmarkStart w:id="256" w:name="_Toc297216192"/>
      <w:bookmarkStart w:id="257" w:name="_Toc312677495"/>
      <w:bookmarkStart w:id="258" w:name="_Toc297123533"/>
      <w:bookmarkStart w:id="259" w:name="_Toc312678021"/>
      <w:bookmarkStart w:id="260" w:name="_Toc304295559"/>
      <w:bookmarkStart w:id="261" w:name="_Toc300934982"/>
      <w:bookmarkStart w:id="262" w:name="_Toc296891213"/>
      <w:bookmarkStart w:id="263" w:name="_Toc267251427"/>
      <w:bookmarkStart w:id="264" w:name="_Toc292559378"/>
      <w:bookmarkStart w:id="265" w:name="_Toc292559883"/>
      <w:bookmarkStart w:id="266" w:name="_Toc296347172"/>
      <w:bookmarkStart w:id="267" w:name="_Toc296503173"/>
      <w:bookmarkStart w:id="268" w:name="_Toc297120473"/>
      <w:bookmarkStart w:id="269" w:name="_Toc296346674"/>
      <w:bookmarkStart w:id="270" w:name="_Toc296891001"/>
      <w:bookmarkStart w:id="271" w:name="_Toc267251428"/>
      <w:bookmarkStart w:id="272" w:name="_Toc297048359"/>
      <w:bookmarkStart w:id="273" w:name="_Toc296944512"/>
      <w:r>
        <w:rPr>
          <w:rFonts w:hint="eastAsia" w:cs="楷体_GB2312"/>
          <w:b/>
          <w:bCs/>
          <w:color w:val="000000" w:themeColor="text1"/>
          <w:sz w:val="21"/>
          <w:szCs w:val="21"/>
          <w14:textFill>
            <w14:solidFill>
              <w14:schemeClr w14:val="tx1"/>
            </w14:solidFill>
          </w14:textFill>
        </w:rPr>
        <w:t>. 试验与检验</w:t>
      </w:r>
      <w:bookmarkEnd w:id="254"/>
    </w:p>
    <w:bookmarkEnd w:id="255"/>
    <w:bookmarkEnd w:id="256"/>
    <w:bookmarkEnd w:id="257"/>
    <w:bookmarkEnd w:id="258"/>
    <w:bookmarkEnd w:id="259"/>
    <w:bookmarkEnd w:id="260"/>
    <w:bookmarkEnd w:id="261"/>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9</w:t>
      </w:r>
      <w:bookmarkStart w:id="274" w:name="_Toc312677496"/>
      <w:bookmarkStart w:id="275" w:name="_Toc312678022"/>
      <w:bookmarkStart w:id="276" w:name="_Toc297216193"/>
      <w:bookmarkStart w:id="277" w:name="_Toc297123534"/>
      <w:bookmarkStart w:id="278" w:name="_Toc300934983"/>
      <w:bookmarkStart w:id="279" w:name="_Toc304295560"/>
      <w:bookmarkStart w:id="280" w:name="_Toc303539140"/>
      <w:r>
        <w:rPr>
          <w:rFonts w:hint="eastAsia" w:cs="仿宋_GB2312"/>
          <w:b/>
          <w:bCs/>
          <w:color w:val="000000" w:themeColor="text1"/>
          <w:sz w:val="21"/>
          <w:szCs w:val="21"/>
          <w14:textFill>
            <w14:solidFill>
              <w14:schemeClr w14:val="tx1"/>
            </w14:solidFill>
          </w14:textFill>
        </w:rPr>
        <w:t>.1试验设备与试验人员</w:t>
      </w:r>
    </w:p>
    <w:bookmarkEnd w:id="274"/>
    <w:bookmarkEnd w:id="275"/>
    <w:bookmarkEnd w:id="276"/>
    <w:bookmarkEnd w:id="277"/>
    <w:bookmarkEnd w:id="278"/>
    <w:bookmarkEnd w:id="279"/>
    <w:bookmarkEnd w:id="280"/>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w:t>
      </w:r>
      <w:bookmarkStart w:id="281" w:name="_Toc297123535"/>
      <w:bookmarkStart w:id="282" w:name="_Toc303539141"/>
      <w:bookmarkStart w:id="283" w:name="_Toc312677497"/>
      <w:bookmarkStart w:id="284" w:name="_Toc312678023"/>
      <w:bookmarkStart w:id="285" w:name="_Toc304295561"/>
      <w:bookmarkStart w:id="286" w:name="_Toc297216194"/>
      <w:bookmarkStart w:id="287" w:name="_Toc300934984"/>
      <w:bookmarkStart w:id="288" w:name="_Toc318581174"/>
      <w:r>
        <w:rPr>
          <w:rFonts w:hint="eastAsia"/>
          <w:color w:val="000000" w:themeColor="text1"/>
          <w:sz w:val="21"/>
          <w:szCs w:val="21"/>
          <w14:textFill>
            <w14:solidFill>
              <w14:schemeClr w14:val="tx1"/>
            </w14:solidFill>
          </w14:textFill>
        </w:rPr>
        <w:t>.1.2 试验设备</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施工现场需要配置的试验场所：</w:t>
      </w:r>
      <w:bookmarkEnd w:id="281"/>
      <w:bookmarkEnd w:id="282"/>
      <w:bookmarkEnd w:id="283"/>
      <w:bookmarkEnd w:id="284"/>
      <w:bookmarkEnd w:id="285"/>
      <w:bookmarkEnd w:id="286"/>
      <w:bookmarkEnd w:id="287"/>
      <w:bookmarkStart w:id="289" w:name="_Toc312678024"/>
      <w:bookmarkStart w:id="290" w:name="_Toc303539142"/>
      <w:bookmarkStart w:id="291" w:name="_Toc312677498"/>
      <w:bookmarkStart w:id="292" w:name="_Toc304295562"/>
      <w:bookmarkStart w:id="293" w:name="_Toc297216195"/>
      <w:bookmarkStart w:id="294" w:name="_Toc300934985"/>
      <w:bookmarkStart w:id="295" w:name="_Toc297123536"/>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 </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施工现场需要配备的试验设备：</w:t>
      </w:r>
      <w:r>
        <w:rPr>
          <w:rFonts w:hint="eastAsia"/>
          <w:color w:val="000000" w:themeColor="text1"/>
          <w:sz w:val="21"/>
          <w:szCs w:val="21"/>
          <w:u w:val="single"/>
          <w14:textFill>
            <w14:solidFill>
              <w14:schemeClr w14:val="tx1"/>
            </w14:solidFill>
          </w14:textFill>
        </w:rPr>
        <w:t>执行通用合同条款和相关标准、规范、文件规定</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施工现场需要具备的其他试验条件：</w:t>
      </w:r>
      <w:r>
        <w:rPr>
          <w:rFonts w:hint="eastAsia"/>
          <w:color w:val="000000" w:themeColor="text1"/>
          <w:sz w:val="21"/>
          <w:szCs w:val="21"/>
          <w:u w:val="single"/>
          <w14:textFill>
            <w14:solidFill>
              <w14:schemeClr w14:val="tx1"/>
            </w14:solidFill>
          </w14:textFill>
        </w:rPr>
        <w:t>执行通用合同条款和相关标准、规范、文件规定</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 xml:space="preserve">9.4现场工艺试验 </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现场工艺试验的有关约定：</w:t>
      </w:r>
      <w:r>
        <w:rPr>
          <w:rFonts w:hint="eastAsia"/>
          <w:color w:val="000000" w:themeColor="text1"/>
          <w:sz w:val="21"/>
          <w:szCs w:val="21"/>
          <w:u w:val="single"/>
          <w14:textFill>
            <w14:solidFill>
              <w14:schemeClr w14:val="tx1"/>
            </w14:solidFill>
          </w14:textFill>
        </w:rPr>
        <w:t>执行通用合同条款和相关标准、规范、文件规定</w:t>
      </w:r>
      <w:r>
        <w:rPr>
          <w:rFonts w:hint="eastAsia"/>
          <w:color w:val="000000" w:themeColor="text1"/>
          <w:sz w:val="21"/>
          <w:szCs w:val="21"/>
          <w14:textFill>
            <w14:solidFill>
              <w14:schemeClr w14:val="tx1"/>
            </w14:solidFill>
          </w14:textFill>
        </w:rPr>
        <w:t>。</w:t>
      </w:r>
    </w:p>
    <w:bookmarkEnd w:id="288"/>
    <w:bookmarkEnd w:id="289"/>
    <w:bookmarkEnd w:id="290"/>
    <w:bookmarkEnd w:id="291"/>
    <w:bookmarkEnd w:id="292"/>
    <w:bookmarkEnd w:id="293"/>
    <w:bookmarkEnd w:id="294"/>
    <w:bookmarkEnd w:id="295"/>
    <w:p>
      <w:pPr>
        <w:adjustRightInd w:val="0"/>
        <w:snapToGrid w:val="0"/>
        <w:spacing w:line="560" w:lineRule="exact"/>
        <w:outlineLvl w:val="2"/>
        <w:rPr>
          <w:rFonts w:cs="楷体_GB2312"/>
          <w:b/>
          <w:bCs/>
          <w:color w:val="000000" w:themeColor="text1"/>
          <w:sz w:val="21"/>
          <w:szCs w:val="21"/>
          <w14:textFill>
            <w14:solidFill>
              <w14:schemeClr w14:val="tx1"/>
            </w14:solidFill>
          </w14:textFill>
        </w:rPr>
      </w:pPr>
      <w:r>
        <w:rPr>
          <w:rFonts w:hint="eastAsia" w:cs="楷体_GB2312"/>
          <w:b/>
          <w:bCs/>
          <w:color w:val="000000" w:themeColor="text1"/>
          <w:sz w:val="21"/>
          <w:szCs w:val="21"/>
          <w14:textFill>
            <w14:solidFill>
              <w14:schemeClr w14:val="tx1"/>
            </w14:solidFill>
          </w14:textFill>
        </w:rPr>
        <w:t>1</w:t>
      </w:r>
      <w:bookmarkEnd w:id="262"/>
      <w:bookmarkEnd w:id="263"/>
      <w:bookmarkEnd w:id="264"/>
      <w:bookmarkEnd w:id="265"/>
      <w:bookmarkEnd w:id="266"/>
      <w:bookmarkEnd w:id="267"/>
      <w:bookmarkEnd w:id="268"/>
      <w:bookmarkEnd w:id="269"/>
      <w:bookmarkEnd w:id="270"/>
      <w:bookmarkEnd w:id="271"/>
      <w:bookmarkEnd w:id="272"/>
      <w:bookmarkEnd w:id="273"/>
      <w:bookmarkStart w:id="296" w:name="_Toc267251439"/>
      <w:bookmarkStart w:id="297" w:name="_Toc267251441"/>
      <w:bookmarkStart w:id="298" w:name="_Toc267251437"/>
      <w:bookmarkStart w:id="299" w:name="_Toc267251435"/>
      <w:bookmarkStart w:id="300" w:name="_Toc267251440"/>
      <w:bookmarkStart w:id="301" w:name="_Toc267251433"/>
      <w:bookmarkStart w:id="302" w:name="_Toc267251442"/>
      <w:r>
        <w:rPr>
          <w:rFonts w:hint="eastAsia" w:cs="楷体_GB2312"/>
          <w:b/>
          <w:bCs/>
          <w:color w:val="000000" w:themeColor="text1"/>
          <w:sz w:val="21"/>
          <w:szCs w:val="21"/>
          <w14:textFill>
            <w14:solidFill>
              <w14:schemeClr w14:val="tx1"/>
            </w14:solidFill>
          </w14:textFill>
        </w:rPr>
        <w:t>0. 变更</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w:t>
      </w:r>
      <w:bookmarkStart w:id="303" w:name="_Toc292559399"/>
      <w:bookmarkStart w:id="304" w:name="_Toc296891234"/>
      <w:bookmarkStart w:id="305" w:name="_Toc296891022"/>
      <w:bookmarkStart w:id="306" w:name="_Toc300934990"/>
      <w:bookmarkStart w:id="307" w:name="_Toc296347193"/>
      <w:bookmarkStart w:id="308" w:name="_Toc296346695"/>
      <w:bookmarkStart w:id="309" w:name="_Toc292559904"/>
      <w:bookmarkStart w:id="310" w:name="_Toc297216200"/>
      <w:bookmarkStart w:id="311" w:name="_Toc297123541"/>
      <w:bookmarkStart w:id="312" w:name="_Toc304295567"/>
      <w:bookmarkStart w:id="313" w:name="_Toc312677500"/>
      <w:bookmarkStart w:id="314" w:name="_Toc297120494"/>
      <w:bookmarkStart w:id="315" w:name="_Toc297048380"/>
      <w:bookmarkStart w:id="316" w:name="_Toc296944533"/>
      <w:bookmarkStart w:id="317" w:name="_Toc312678026"/>
      <w:bookmarkStart w:id="318" w:name="_Toc303539147"/>
      <w:bookmarkStart w:id="319" w:name="_Toc296503194"/>
      <w:r>
        <w:rPr>
          <w:rFonts w:hint="eastAsia" w:cs="仿宋_GB2312"/>
          <w:b/>
          <w:bCs/>
          <w:color w:val="000000" w:themeColor="text1"/>
          <w:sz w:val="21"/>
          <w:szCs w:val="21"/>
          <w14:textFill>
            <w14:solidFill>
              <w14:schemeClr w14:val="tx1"/>
            </w14:solidFill>
          </w14:textFill>
        </w:rPr>
        <w:t>0.1变更的范围</w:t>
      </w:r>
    </w:p>
    <w:p>
      <w:pPr>
        <w:adjustRightInd w:val="0"/>
        <w:snapToGrid w:val="0"/>
        <w:spacing w:line="560" w:lineRule="exact"/>
        <w:ind w:firstLine="6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关于变更的范围的约定：</w:t>
      </w:r>
      <w:r>
        <w:rPr>
          <w:rFonts w:hint="eastAsia"/>
          <w:color w:val="000000" w:themeColor="text1"/>
          <w:sz w:val="21"/>
          <w:szCs w:val="21"/>
          <w:u w:val="single"/>
          <w14:textFill>
            <w14:solidFill>
              <w14:schemeClr w14:val="tx1"/>
            </w14:solidFill>
          </w14:textFill>
        </w:rPr>
        <w:t>执行通用合同条款，但发包人发布的变更指令，承包人须无条件执行，承包人拒不执行的，发包人有权委托第三方进行实施，变更工程价款金额为发包人与第三方签订的承包合同额，变更工程价款由本合同承包人承担，在结算时由发包人予以扣除</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10.4变更估价</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10.4.1 变更估价原则</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 xml:space="preserve">关于变更估价的约定: </w:t>
      </w:r>
      <w:r>
        <w:rPr>
          <w:rFonts w:hint="eastAsia"/>
          <w:color w:val="000000" w:themeColor="text1"/>
          <w:sz w:val="21"/>
          <w:szCs w:val="21"/>
          <w:u w:val="single"/>
          <w14:textFill>
            <w14:solidFill>
              <w14:schemeClr w14:val="tx1"/>
            </w14:solidFill>
          </w14:textFill>
        </w:rPr>
        <w:t xml:space="preserve"> 由于设计变更、签证等引起的工程量变化，按实际调整。设计变更、签证引起新的工程量清单项目，其相应综合单价按以下规则由承包人提出，经发包人、发包人委托的审计单位、监理单位共同确认后作为结算依据，变更、签证程序执行阜阳市政府相关文件规定。</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a. 最高投标限价中已列项目，按最高投标限价中的综合单价*报价浮动率 。</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b.如工程量清单与施工图纸不一致；工程量清单描述不清的；工程量清单中未列的项目及数量有差异的项目，由投标人在投标报价中自行考虑费用，视为投标人已列入投标总价中。</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 xml:space="preserve">c.工程变更中的报价：招标人最高投标限价中有相同或类似综合单价的，按相同或类似综合单价*报价浮动率记取；承包人投标报价中无相同或类似综合单价的，参照招标文件重新组价；其中材料价格按招标人最高投标限价中的材料价格执行；若最高投标限价中没有，执行编制最高投标限价时采用的同期阜阳市建设工程造价管理站发布的信息价，阜阳市建设工程造价管理站发布的信息价中若没有，按造价管理部门备案价格执行；机械台班单价按上述机械台班费用定额执行；人工费单价按安徽省最新政策文件规定执行。重新组价部分按最高限价与中标人投标报价的报价浮动率同比例下浮后进行结算。 </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Start w:id="320" w:name="_Toc297120497"/>
      <w:bookmarkStart w:id="321" w:name="_Toc292559907"/>
      <w:bookmarkStart w:id="322" w:name="_Toc303539150"/>
      <w:bookmarkStart w:id="323" w:name="_Toc296503197"/>
      <w:bookmarkStart w:id="324" w:name="_Toc296346698"/>
      <w:bookmarkStart w:id="325" w:name="_Toc296891025"/>
      <w:bookmarkStart w:id="326" w:name="_Toc297048383"/>
      <w:bookmarkStart w:id="327" w:name="_Toc297123544"/>
      <w:bookmarkStart w:id="328" w:name="_Toc300934993"/>
      <w:bookmarkStart w:id="329" w:name="_Toc297216203"/>
      <w:bookmarkStart w:id="330" w:name="_Toc296944536"/>
      <w:bookmarkStart w:id="331" w:name="_Toc296347196"/>
      <w:bookmarkStart w:id="332" w:name="_Toc296891237"/>
      <w:bookmarkStart w:id="333" w:name="_Toc292559402"/>
      <w:bookmarkStart w:id="334" w:name="_Toc312678029"/>
      <w:bookmarkStart w:id="335" w:name="_Toc304295570"/>
      <w:bookmarkStart w:id="336" w:name="_Toc312677503"/>
      <w:r>
        <w:rPr>
          <w:rFonts w:hint="eastAsia" w:cs="仿宋_GB2312"/>
          <w:b/>
          <w:bCs/>
          <w:color w:val="000000" w:themeColor="text1"/>
          <w:sz w:val="21"/>
          <w:szCs w:val="21"/>
          <w14:textFill>
            <w14:solidFill>
              <w14:schemeClr w14:val="tx1"/>
            </w14:solidFill>
          </w14:textFill>
        </w:rPr>
        <w:t>0.5承</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Start w:id="337" w:name="_Toc297048389"/>
      <w:bookmarkStart w:id="338" w:name="_Toc303539151"/>
      <w:bookmarkStart w:id="339" w:name="_Toc297120503"/>
      <w:bookmarkStart w:id="340" w:name="_Toc297216204"/>
      <w:bookmarkStart w:id="341" w:name="_Toc297123545"/>
      <w:bookmarkStart w:id="342" w:name="_Toc296346704"/>
      <w:bookmarkStart w:id="343" w:name="_Toc296891031"/>
      <w:bookmarkStart w:id="344" w:name="_Toc300934994"/>
      <w:bookmarkStart w:id="345" w:name="_Toc296891243"/>
      <w:bookmarkStart w:id="346" w:name="_Toc292559408"/>
      <w:bookmarkStart w:id="347" w:name="_Toc292559913"/>
      <w:bookmarkStart w:id="348" w:name="_Toc296347202"/>
      <w:bookmarkStart w:id="349" w:name="_Toc296944542"/>
      <w:bookmarkStart w:id="350" w:name="_Toc296503203"/>
      <w:r>
        <w:rPr>
          <w:rFonts w:hint="eastAsia" w:cs="仿宋_GB2312"/>
          <w:b/>
          <w:bCs/>
          <w:color w:val="000000" w:themeColor="text1"/>
          <w:sz w:val="21"/>
          <w:szCs w:val="21"/>
          <w14:textFill>
            <w14:solidFill>
              <w14:schemeClr w14:val="tx1"/>
            </w14:solidFill>
          </w14:textFill>
        </w:rPr>
        <w:t>包人的合理化建议</w:t>
      </w:r>
    </w:p>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监理人审查承包人合理化建议的期限：</w:t>
      </w:r>
      <w:r>
        <w:rPr>
          <w:rFonts w:hint="eastAsia"/>
          <w:color w:val="000000" w:themeColor="text1"/>
          <w:sz w:val="21"/>
          <w:szCs w:val="21"/>
          <w:u w:val="single"/>
          <w14:textFill>
            <w14:solidFill>
              <w14:schemeClr w14:val="tx1"/>
            </w14:solidFill>
          </w14:textFill>
        </w:rPr>
        <w:t>3日内</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发包人审批承包人合理化建议的期限：</w:t>
      </w:r>
      <w:r>
        <w:rPr>
          <w:rFonts w:hint="eastAsia"/>
          <w:color w:val="000000" w:themeColor="text1"/>
          <w:sz w:val="21"/>
          <w:szCs w:val="21"/>
          <w:u w:val="single"/>
          <w14:textFill>
            <w14:solidFill>
              <w14:schemeClr w14:val="tx1"/>
            </w14:solidFill>
          </w14:textFill>
        </w:rPr>
        <w:t xml:space="preserve"> 7日内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承</w:t>
      </w:r>
      <w:bookmarkStart w:id="351" w:name="_Toc296503204"/>
      <w:bookmarkStart w:id="352" w:name="_Toc312677504"/>
      <w:bookmarkStart w:id="353" w:name="_Toc296346705"/>
      <w:bookmarkStart w:id="354" w:name="_Toc296944543"/>
      <w:bookmarkStart w:id="355" w:name="_Toc318581175"/>
      <w:bookmarkStart w:id="356" w:name="_Toc303539152"/>
      <w:bookmarkStart w:id="357" w:name="_Toc300934995"/>
      <w:bookmarkStart w:id="358" w:name="_Toc297120504"/>
      <w:bookmarkStart w:id="359" w:name="_Toc297216205"/>
      <w:bookmarkStart w:id="360" w:name="_Toc297048390"/>
      <w:bookmarkStart w:id="361" w:name="_Toc292559914"/>
      <w:bookmarkStart w:id="362" w:name="_Toc292559409"/>
      <w:bookmarkStart w:id="363" w:name="_Toc296891244"/>
      <w:bookmarkStart w:id="364" w:name="_Toc296347203"/>
      <w:bookmarkStart w:id="365" w:name="_Toc312678030"/>
      <w:bookmarkStart w:id="366" w:name="_Toc297123546"/>
      <w:bookmarkStart w:id="367" w:name="_Toc304295571"/>
      <w:bookmarkStart w:id="368" w:name="_Toc296891032"/>
      <w:r>
        <w:rPr>
          <w:rFonts w:hint="eastAsia"/>
          <w:color w:val="000000" w:themeColor="text1"/>
          <w:sz w:val="21"/>
          <w:szCs w:val="21"/>
          <w14:textFill>
            <w14:solidFill>
              <w14:schemeClr w14:val="tx1"/>
            </w14:solidFill>
          </w14:textFill>
        </w:rPr>
        <w:t>包人提出的合理化建议降低了合同价格或者提高了工程经济效益的奖励的方法和金额为：</w:t>
      </w:r>
      <w:r>
        <w:rPr>
          <w:rFonts w:hint="eastAsia"/>
          <w:color w:val="000000" w:themeColor="text1"/>
          <w:sz w:val="21"/>
          <w:szCs w:val="21"/>
          <w:u w:val="single"/>
          <w14:textFill>
            <w14:solidFill>
              <w14:schemeClr w14:val="tx1"/>
            </w14:solidFill>
          </w14:textFill>
        </w:rPr>
        <w:t xml:space="preserve">    不采用 </w:t>
      </w:r>
      <w:r>
        <w:rPr>
          <w:rFonts w:hint="eastAsia"/>
          <w:color w:val="000000" w:themeColor="text1"/>
          <w:sz w:val="21"/>
          <w:szCs w:val="21"/>
          <w14:textFill>
            <w14:solidFill>
              <w14:schemeClr w14:val="tx1"/>
            </w14:solidFill>
          </w14:textFill>
        </w:rPr>
        <w:t>。</w:t>
      </w:r>
    </w:p>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w:t>
      </w:r>
      <w:bookmarkStart w:id="369" w:name="_Toc292559404"/>
      <w:bookmarkStart w:id="370" w:name="_Toc312678033"/>
      <w:bookmarkStart w:id="371" w:name="_Toc296346700"/>
      <w:bookmarkStart w:id="372" w:name="_Toc300934997"/>
      <w:bookmarkStart w:id="373" w:name="_Toc296503199"/>
      <w:bookmarkStart w:id="374" w:name="_Toc296891239"/>
      <w:bookmarkStart w:id="375" w:name="_Toc303539154"/>
      <w:bookmarkStart w:id="376" w:name="_Toc297120499"/>
      <w:bookmarkStart w:id="377" w:name="_Toc312677507"/>
      <w:bookmarkStart w:id="378" w:name="_Toc296891027"/>
      <w:bookmarkStart w:id="379" w:name="_Toc297048385"/>
      <w:bookmarkStart w:id="380" w:name="_Toc297216207"/>
      <w:bookmarkStart w:id="381" w:name="_Toc296944538"/>
      <w:bookmarkStart w:id="382" w:name="_Toc297123548"/>
      <w:bookmarkStart w:id="383" w:name="_Toc304295574"/>
      <w:bookmarkStart w:id="384" w:name="_Toc296347198"/>
      <w:bookmarkStart w:id="385" w:name="_Toc292559909"/>
      <w:r>
        <w:rPr>
          <w:rFonts w:hint="eastAsia" w:cs="仿宋_GB2312"/>
          <w:b/>
          <w:bCs/>
          <w:color w:val="000000" w:themeColor="text1"/>
          <w:sz w:val="21"/>
          <w:szCs w:val="21"/>
          <w14:textFill>
            <w14:solidFill>
              <w14:schemeClr w14:val="tx1"/>
            </w14:solidFill>
          </w14:textFill>
        </w:rPr>
        <w:t>0.7暂估价</w:t>
      </w:r>
    </w:p>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暂</w:t>
      </w:r>
      <w:bookmarkStart w:id="386" w:name="_Toc312677508"/>
      <w:bookmarkStart w:id="387" w:name="_Toc318581176"/>
      <w:bookmarkStart w:id="388" w:name="_Toc312678034"/>
      <w:r>
        <w:rPr>
          <w:rFonts w:hint="eastAsia"/>
          <w:color w:val="000000" w:themeColor="text1"/>
          <w:sz w:val="21"/>
          <w:szCs w:val="21"/>
          <w14:textFill>
            <w14:solidFill>
              <w14:schemeClr w14:val="tx1"/>
            </w14:solidFill>
          </w14:textFill>
        </w:rPr>
        <w:t>估价材料和工程设备的明细详见附件11：《暂估价一览表》。</w:t>
      </w:r>
    </w:p>
    <w:bookmarkEnd w:id="386"/>
    <w:bookmarkEnd w:id="387"/>
    <w:bookmarkEnd w:id="388"/>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bookmarkStart w:id="389" w:name="_Toc312677509"/>
      <w:bookmarkStart w:id="390" w:name="_Toc312678035"/>
      <w:bookmarkStart w:id="391" w:name="_Toc318581177"/>
      <w:r>
        <w:rPr>
          <w:rFonts w:hint="eastAsia"/>
          <w:color w:val="000000" w:themeColor="text1"/>
          <w:sz w:val="21"/>
          <w:szCs w:val="21"/>
          <w14:textFill>
            <w14:solidFill>
              <w14:schemeClr w14:val="tx1"/>
            </w14:solidFill>
          </w14:textFill>
        </w:rPr>
        <w:t>0.7.1 依法必须招标的暂估价项目</w:t>
      </w:r>
    </w:p>
    <w:bookmarkEnd w:id="389"/>
    <w:bookmarkEnd w:id="390"/>
    <w:bookmarkEnd w:id="391"/>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对于依法必须招标的暂估价项目的确认和批准采取第</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2</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种方式确定。</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10.7.2 不属于依法必须招标的暂估价项目</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对于不属于依法必须招标的暂估价项目的确认和批准采取第</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 种方式确定。</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第3种方式：承包人直接实施的暂估价项目</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承包人直接实施的暂估价项目的约定：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10.8暂列金额</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合同当事人关于暂列金额使用的约定：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outlineLvl w:val="2"/>
        <w:rPr>
          <w:rFonts w:cs="楷体_GB2312"/>
          <w:b/>
          <w:bCs/>
          <w:color w:val="000000" w:themeColor="text1"/>
          <w:sz w:val="21"/>
          <w:szCs w:val="21"/>
          <w14:textFill>
            <w14:solidFill>
              <w14:schemeClr w14:val="tx1"/>
            </w14:solidFill>
          </w14:textFill>
        </w:rPr>
      </w:pPr>
      <w:r>
        <w:rPr>
          <w:rFonts w:hint="eastAsia" w:cs="楷体_GB2312"/>
          <w:b/>
          <w:bCs/>
          <w:color w:val="000000" w:themeColor="text1"/>
          <w:sz w:val="21"/>
          <w:szCs w:val="21"/>
          <w14:textFill>
            <w14:solidFill>
              <w14:schemeClr w14:val="tx1"/>
            </w14:solidFill>
          </w14:textFill>
        </w:rPr>
        <w:t>11. 价格调整</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11.1 市场价格波动引起的调整</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市场价格波动是否调整合同价格的约定：</w:t>
      </w:r>
      <w:r>
        <w:rPr>
          <w:rFonts w:hint="eastAsia"/>
          <w:color w:val="000000" w:themeColor="text1"/>
          <w:sz w:val="21"/>
          <w:szCs w:val="21"/>
          <w:u w:val="single"/>
          <w14:textFill>
            <w14:solidFill>
              <w14:schemeClr w14:val="tx1"/>
            </w14:solidFill>
          </w14:textFill>
        </w:rPr>
        <w:t xml:space="preserve"> </w:t>
      </w:r>
      <w:r>
        <w:rPr>
          <w:rFonts w:hint="eastAsia"/>
          <w:color w:val="FF0000"/>
          <w:sz w:val="21"/>
          <w:szCs w:val="21"/>
          <w:u w:val="single"/>
        </w:rPr>
        <w:t>予以调整</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因市场价格波动调整合同价格，采用以下第</w:t>
      </w:r>
      <w:r>
        <w:rPr>
          <w:rFonts w:hint="eastAsia"/>
          <w:b/>
          <w:bCs/>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2</w:t>
      </w:r>
      <w:r>
        <w:rPr>
          <w:rFonts w:hint="eastAsia"/>
          <w:b/>
          <w:bCs/>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种方式对合同价格进行调整：</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第1种方式：采用价格指数进行价格调整。</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关于各可调因子、定值和变值权重，以及基本价格指数及其来源的约定：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  </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第2种方式：采用造价信息进行价格调整。</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（2）关于基准价格的约定：</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调整材料范围：材料价值占单位专业工程分部分项工程费5%（含5%）以上且收录在阜阳市工程建设信息价以内的，其余不予调整。</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以清单控制价编制当期信息价为基准价格，施工当月阜阳市工程建设当期信息价涨跌幅在±5%（含5%）以内不予调整，对超出±5%部分按清单控制价与中标人投标报价的降幅比率同比例下浮后进行结算 。</w:t>
      </w:r>
    </w:p>
    <w:p>
      <w:pPr>
        <w:adjustRightInd w:val="0"/>
        <w:snapToGrid w:val="0"/>
        <w:spacing w:after="120" w:line="560" w:lineRule="exact"/>
        <w:ind w:firstLine="42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因发包人或承包人原因造成工期延误的，延误期间遇价格波动造成的价差损失由责任方承担。</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专用合同条款①承包人在已标价工程量清单或预算书中载明的材料单价低于基准价格的：专用合同条款合同履行期间材料单价涨幅以基准价格为基础超过</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%时，或材料单价跌幅以已标价工程量清单或预算书中载明材料单价为基础超过</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%时，其超过部分据实调整。</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②承包人在已标价工程量清单或预算书中载明的材料单价高于基准价格的：专用合同条款合同履行期间材料单价跌幅以基准价格为基础超过</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%时，材料单价涨幅以已标价工程量清单或预算书中载明材料单价为基础超过</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%时，其超过部分据实调整。</w:t>
      </w:r>
    </w:p>
    <w:p>
      <w:pPr>
        <w:adjustRightInd w:val="0"/>
        <w:snapToGrid w:val="0"/>
        <w:spacing w:line="560" w:lineRule="exact"/>
        <w:ind w:firstLine="64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③承包人在已标价工程量清单或预算书中载明的材料单价等于基准单价的：专用合同条款合同履行期间材料单价涨跌幅以基准单价为基础超过±</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%时，其超过部分据实调整。</w:t>
      </w:r>
    </w:p>
    <w:p>
      <w:pPr>
        <w:adjustRightInd w:val="0"/>
        <w:snapToGrid w:val="0"/>
        <w:spacing w:line="560" w:lineRule="exact"/>
        <w:ind w:firstLine="645"/>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第3种方式：其他价格调整方式：</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bookmarkEnd w:id="296"/>
    <w:bookmarkEnd w:id="297"/>
    <w:bookmarkEnd w:id="298"/>
    <w:bookmarkEnd w:id="299"/>
    <w:bookmarkEnd w:id="300"/>
    <w:bookmarkEnd w:id="301"/>
    <w:p>
      <w:pPr>
        <w:adjustRightInd w:val="0"/>
        <w:snapToGrid w:val="0"/>
        <w:spacing w:line="560" w:lineRule="exact"/>
        <w:outlineLvl w:val="2"/>
        <w:rPr>
          <w:rFonts w:cs="楷体_GB2312"/>
          <w:b/>
          <w:bCs/>
          <w:color w:val="000000" w:themeColor="text1"/>
          <w:sz w:val="21"/>
          <w:szCs w:val="21"/>
          <w14:textFill>
            <w14:solidFill>
              <w14:schemeClr w14:val="tx1"/>
            </w14:solidFill>
          </w14:textFill>
        </w:rPr>
      </w:pPr>
      <w:r>
        <w:rPr>
          <w:rFonts w:hint="eastAsia" w:cs="楷体_GB2312"/>
          <w:b/>
          <w:bCs/>
          <w:color w:val="000000" w:themeColor="text1"/>
          <w:sz w:val="21"/>
          <w:szCs w:val="21"/>
          <w14:textFill>
            <w14:solidFill>
              <w14:schemeClr w14:val="tx1"/>
            </w14:solidFill>
          </w14:textFill>
        </w:rPr>
        <w:t>12. 合同价格、计量与支付</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12.1 合同价格形式</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1、单价合同。</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综合单价包含的风险范围：</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风险费用的计算方法：</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风险范围以外合同价格的调整方法：</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2、总价合同。</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总价包含的风险范围：</w:t>
      </w:r>
      <w:r>
        <w:rPr>
          <w:rFonts w:hint="eastAsia"/>
          <w:color w:val="000000" w:themeColor="text1"/>
          <w:sz w:val="21"/>
          <w:szCs w:val="21"/>
          <w:u w:val="single"/>
          <w14:textFill>
            <w14:solidFill>
              <w14:schemeClr w14:val="tx1"/>
            </w14:solidFill>
          </w14:textFill>
        </w:rPr>
        <w:t xml:space="preserve">  除材料（专用合同条款11.1约定的调价材料）价格变化、政策性调整及不可抗力以外的其他风险承包人投标时在规定时间内未对工程量清单提出异议，中标后，发包人不再对工程量清单的项目和数量进行校对调整。承包人必须按其报价完成招标文件规定范围内的所有工程项目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风险费用的计算方法：</w:t>
      </w:r>
      <w:r>
        <w:rPr>
          <w:rFonts w:hint="eastAsia"/>
          <w:color w:val="000000" w:themeColor="text1"/>
          <w:sz w:val="21"/>
          <w:szCs w:val="21"/>
          <w:u w:val="single"/>
          <w14:textFill>
            <w14:solidFill>
              <w14:schemeClr w14:val="tx1"/>
            </w14:solidFill>
          </w14:textFill>
        </w:rPr>
        <w:t xml:space="preserve">   承包人在投标报价时已考虑，不再另行计取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风险范围以外合同价格的调整方法：</w:t>
      </w:r>
      <w:r>
        <w:rPr>
          <w:rFonts w:hint="eastAsia"/>
          <w:color w:val="000000" w:themeColor="text1"/>
          <w:sz w:val="21"/>
          <w:szCs w:val="21"/>
          <w:u w:val="single"/>
          <w14:textFill>
            <w14:solidFill>
              <w14:schemeClr w14:val="tx1"/>
            </w14:solidFill>
          </w14:textFill>
        </w:rPr>
        <w:t xml:space="preserve">   按专用合同条款10.1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3、其他价格方式：</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bookmarkStart w:id="392" w:name="_Toc312678042"/>
      <w:bookmarkStart w:id="393" w:name="_Toc297216213"/>
      <w:bookmarkStart w:id="394" w:name="_Toc304295581"/>
      <w:bookmarkStart w:id="395" w:name="_Toc297123554"/>
      <w:bookmarkStart w:id="396" w:name="_Toc300935004"/>
      <w:bookmarkStart w:id="397" w:name="_Toc303539161"/>
      <w:bookmarkStart w:id="398" w:name="_Toc296346708"/>
      <w:bookmarkStart w:id="399" w:name="_Toc297048393"/>
      <w:bookmarkStart w:id="400" w:name="_Toc292559412"/>
      <w:bookmarkStart w:id="401" w:name="_Toc296891247"/>
      <w:bookmarkStart w:id="402" w:name="_Toc292559917"/>
      <w:bookmarkStart w:id="403" w:name="_Toc296347206"/>
      <w:bookmarkStart w:id="404" w:name="_Toc296944546"/>
      <w:bookmarkStart w:id="405" w:name="_Toc296503207"/>
      <w:bookmarkStart w:id="406" w:name="_Toc297120507"/>
      <w:bookmarkStart w:id="407" w:name="_Toc296891035"/>
      <w:r>
        <w:rPr>
          <w:rFonts w:hint="eastAsia" w:cs="仿宋_GB2312"/>
          <w:b/>
          <w:bCs/>
          <w:color w:val="000000" w:themeColor="text1"/>
          <w:sz w:val="21"/>
          <w:szCs w:val="21"/>
          <w14:textFill>
            <w14:solidFill>
              <w14:schemeClr w14:val="tx1"/>
            </w14:solidFill>
          </w14:textFill>
        </w:rPr>
        <w:t>12.2 预付款</w:t>
      </w:r>
    </w:p>
    <w:bookmarkEnd w:id="392"/>
    <w:bookmarkEnd w:id="393"/>
    <w:bookmarkEnd w:id="394"/>
    <w:bookmarkEnd w:id="395"/>
    <w:bookmarkEnd w:id="396"/>
    <w:bookmarkEnd w:id="397"/>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12.2.1 预付款的支付</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预付款支付比例或金额：</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预付款支付期限：</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预付款扣回的方式：</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12.2.2 预付款担保</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承包人提交预付款担保的期限：</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预付款担保的形式为：</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bookmarkEnd w:id="398"/>
    <w:bookmarkEnd w:id="399"/>
    <w:bookmarkEnd w:id="400"/>
    <w:bookmarkEnd w:id="401"/>
    <w:bookmarkEnd w:id="402"/>
    <w:bookmarkEnd w:id="403"/>
    <w:bookmarkEnd w:id="404"/>
    <w:bookmarkEnd w:id="405"/>
    <w:bookmarkEnd w:id="406"/>
    <w:bookmarkEnd w:id="407"/>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12.3 计量</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12.3.1 计量原则</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工程量计算规则：</w:t>
      </w:r>
      <w:r>
        <w:rPr>
          <w:rFonts w:hint="eastAsia"/>
          <w:color w:val="000000" w:themeColor="text1"/>
          <w:sz w:val="21"/>
          <w:szCs w:val="21"/>
          <w:u w:val="single"/>
          <w14:textFill>
            <w14:solidFill>
              <w14:schemeClr w14:val="tx1"/>
            </w14:solidFill>
          </w14:textFill>
        </w:rPr>
        <w:t>按招标工程量清单及控制价所采用的工程量清单计价规范及配套文件等</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12.3.2 计量周期</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关于计量周期的约定：</w:t>
      </w:r>
      <w:r>
        <w:rPr>
          <w:rFonts w:hint="eastAsia"/>
          <w:color w:val="000000" w:themeColor="text1"/>
          <w:sz w:val="21"/>
          <w:szCs w:val="21"/>
          <w:u w:val="single"/>
          <w14:textFill>
            <w14:solidFill>
              <w14:schemeClr w14:val="tx1"/>
            </w14:solidFill>
          </w14:textFill>
        </w:rPr>
        <w:t xml:space="preserve">   执行通用合同条款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12.3.3 单价合同的计量</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关于单价合同计量的约定：</w:t>
      </w:r>
      <w:r>
        <w:rPr>
          <w:rFonts w:hint="eastAsia"/>
          <w:color w:val="000000" w:themeColor="text1"/>
          <w:sz w:val="21"/>
          <w:szCs w:val="21"/>
          <w:u w:val="single"/>
          <w14:textFill>
            <w14:solidFill>
              <w14:schemeClr w14:val="tx1"/>
            </w14:solidFill>
          </w14:textFill>
        </w:rPr>
        <w:t xml:space="preserve">     不适用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12.3.4 总价合同的计量</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关于总价合同计量的约定：</w:t>
      </w:r>
      <w:r>
        <w:rPr>
          <w:rFonts w:hint="eastAsia"/>
          <w:color w:val="000000" w:themeColor="text1"/>
          <w:sz w:val="21"/>
          <w:szCs w:val="21"/>
          <w:u w:val="single"/>
          <w14:textFill>
            <w14:solidFill>
              <w14:schemeClr w14:val="tx1"/>
            </w14:solidFill>
          </w14:textFill>
        </w:rPr>
        <w:t xml:space="preserve">     执行通用合同条款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12.3.5总价合同采用支付分解表计量支付的，是否适用第12.3.4 项〔总价合同的计量〕约定进行计量：</w:t>
      </w:r>
      <w:r>
        <w:rPr>
          <w:rFonts w:hint="eastAsia"/>
          <w:color w:val="000000" w:themeColor="text1"/>
          <w:sz w:val="21"/>
          <w:szCs w:val="21"/>
          <w:u w:val="single"/>
          <w14:textFill>
            <w14:solidFill>
              <w14:schemeClr w14:val="tx1"/>
            </w14:solidFill>
          </w14:textFill>
        </w:rPr>
        <w:t xml:space="preserve">  不适用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12.3.6 其他价格形式合同的计量</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其他价格形式的计量方式和程序：</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12.4 工程进度款支付</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12.4.1 付款周期</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关于付款周期的约定：</w:t>
      </w:r>
      <w:r>
        <w:rPr>
          <w:rFonts w:hint="eastAsia"/>
          <w:color w:val="000000" w:themeColor="text1"/>
          <w:sz w:val="21"/>
          <w:szCs w:val="21"/>
          <w:u w:val="single"/>
          <w14:textFill>
            <w14:solidFill>
              <w14:schemeClr w14:val="tx1"/>
            </w14:solidFill>
          </w14:textFill>
        </w:rPr>
        <w:t xml:space="preserve">  总监理工程师和发包人代表核定的已完合格工程量进度付款  </w:t>
      </w:r>
    </w:p>
    <w:p>
      <w:pPr>
        <w:adjustRightInd w:val="0"/>
        <w:snapToGrid w:val="0"/>
        <w:spacing w:line="560" w:lineRule="exact"/>
        <w:ind w:firstLine="420" w:firstLineChars="200"/>
        <w:rPr>
          <w:rFonts w:cs="仿宋"/>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材料价格调整及变更价款随工程进度款同期同比例支付。</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12.4.2 进度付款申请单的编制</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关于进度付款申请单编制的约定：</w:t>
      </w:r>
      <w:r>
        <w:rPr>
          <w:rFonts w:hint="eastAsia"/>
          <w:color w:val="000000" w:themeColor="text1"/>
          <w:sz w:val="21"/>
          <w:szCs w:val="21"/>
          <w:u w:val="single"/>
          <w14:textFill>
            <w14:solidFill>
              <w14:schemeClr w14:val="tx1"/>
            </w14:solidFill>
          </w14:textFill>
        </w:rPr>
        <w:t xml:space="preserve">  </w:t>
      </w:r>
      <w:r>
        <w:rPr>
          <w:rFonts w:hint="eastAsia"/>
          <w:b/>
          <w:bCs/>
          <w:color w:val="FF0000"/>
          <w:sz w:val="21"/>
          <w:szCs w:val="21"/>
          <w:u w:val="single"/>
        </w:rPr>
        <w:t>全部工程竣工验收合格通电，并通过电力部门验收后付至合同总价的80%，工程结算经审计后，付至审定价款的97%；满两年后（缺陷责任期满）无质量问题，余款无息付清。</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材料价格调整及变更价款随工程进度款同期同比例支付。</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 xml:space="preserve">发包人支付第一笔进度款时，扣除农民工工资预付款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12.4.3 进度付款申请单的提交</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（1）单价合同进度付款申请单提交的约定：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（2）总价合同进度付款申请单提交的约定：</w:t>
      </w:r>
      <w:r>
        <w:rPr>
          <w:rFonts w:hint="eastAsia"/>
          <w:color w:val="000000" w:themeColor="text1"/>
          <w:sz w:val="21"/>
          <w:szCs w:val="21"/>
          <w:u w:val="single"/>
          <w14:textFill>
            <w14:solidFill>
              <w14:schemeClr w14:val="tx1"/>
            </w14:solidFill>
          </w14:textFill>
        </w:rPr>
        <w:t xml:space="preserve"> 执行通用合同条款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（3）其他价格形式合同进度付款申请单提交的约定：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12.4.4 进度款审核和支付</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（1）监理人审查并报送发包人的期限：</w:t>
      </w:r>
      <w:r>
        <w:rPr>
          <w:rFonts w:hint="eastAsia"/>
          <w:color w:val="000000" w:themeColor="text1"/>
          <w:sz w:val="21"/>
          <w:szCs w:val="21"/>
          <w:u w:val="single"/>
          <w14:textFill>
            <w14:solidFill>
              <w14:schemeClr w14:val="tx1"/>
            </w14:solidFill>
          </w14:textFill>
        </w:rPr>
        <w:t xml:space="preserve">   执行通用合同条款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发包人完成审批并签发进度款支付证书的期限：</w:t>
      </w:r>
      <w:r>
        <w:rPr>
          <w:rFonts w:hint="eastAsia"/>
          <w:color w:val="000000" w:themeColor="text1"/>
          <w:sz w:val="21"/>
          <w:szCs w:val="21"/>
          <w:u w:val="single"/>
          <w14:textFill>
            <w14:solidFill>
              <w14:schemeClr w14:val="tx1"/>
            </w14:solidFill>
          </w14:textFill>
        </w:rPr>
        <w:t xml:space="preserve">   执行通用合同条款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（2）发包人支付进度款的期限：</w:t>
      </w:r>
      <w:r>
        <w:rPr>
          <w:rFonts w:hint="eastAsia"/>
          <w:color w:val="000000" w:themeColor="text1"/>
          <w:sz w:val="21"/>
          <w:szCs w:val="21"/>
          <w:u w:val="single"/>
          <w14:textFill>
            <w14:solidFill>
              <w14:schemeClr w14:val="tx1"/>
            </w14:solidFill>
          </w14:textFill>
        </w:rPr>
        <w:t>发包人应在监理单位签发的进度款支付证书或临时进度款支付证书后 28 天内完成支付</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525" w:firstLineChars="25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发包人逾期支付进度款的违约金的计算方式：</w:t>
      </w:r>
      <w:r>
        <w:rPr>
          <w:rFonts w:hint="eastAsia"/>
          <w:color w:val="000000" w:themeColor="text1"/>
          <w:sz w:val="21"/>
          <w:szCs w:val="21"/>
          <w:u w:val="single"/>
          <w14:textFill>
            <w14:solidFill>
              <w14:schemeClr w14:val="tx1"/>
            </w14:solidFill>
          </w14:textFill>
        </w:rPr>
        <w:t xml:space="preserve">  按照中国人民银行发布的同期同类贷款基准利率支付违约金</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525" w:firstLineChars="25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12.4.6支付分解表的编制</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2、总价合同支付分解表的编制与审批：</w:t>
      </w:r>
      <w:r>
        <w:rPr>
          <w:rFonts w:hint="eastAsia"/>
          <w:color w:val="000000" w:themeColor="text1"/>
          <w:sz w:val="21"/>
          <w:szCs w:val="21"/>
          <w:u w:val="single"/>
          <w14:textFill>
            <w14:solidFill>
              <w14:schemeClr w14:val="tx1"/>
            </w14:solidFill>
          </w14:textFill>
        </w:rPr>
        <w:t xml:space="preserve">  执行通用合同条款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3、单价合同的总价项目支付分解表的编制与审批：</w:t>
      </w:r>
      <w:r>
        <w:rPr>
          <w:rFonts w:hint="eastAsia"/>
          <w:color w:val="000000" w:themeColor="text1"/>
          <w:sz w:val="21"/>
          <w:szCs w:val="21"/>
          <w:u w:val="single"/>
          <w14:textFill>
            <w14:solidFill>
              <w14:schemeClr w14:val="tx1"/>
            </w14:solidFill>
          </w14:textFill>
        </w:rPr>
        <w:t xml:space="preserve"> 不适用 </w:t>
      </w:r>
      <w:r>
        <w:rPr>
          <w:rFonts w:hint="eastAsia"/>
          <w:color w:val="000000" w:themeColor="text1"/>
          <w:sz w:val="21"/>
          <w:szCs w:val="21"/>
          <w14:textFill>
            <w14:solidFill>
              <w14:schemeClr w14:val="tx1"/>
            </w14:solidFill>
          </w14:textFill>
        </w:rPr>
        <w:t>。</w:t>
      </w:r>
    </w:p>
    <w:bookmarkEnd w:id="302"/>
    <w:p>
      <w:pPr>
        <w:adjustRightInd w:val="0"/>
        <w:snapToGrid w:val="0"/>
        <w:spacing w:line="560" w:lineRule="exact"/>
        <w:outlineLvl w:val="2"/>
        <w:rPr>
          <w:rFonts w:cs="楷体_GB2312"/>
          <w:b/>
          <w:bCs/>
          <w:color w:val="000000" w:themeColor="text1"/>
          <w:sz w:val="21"/>
          <w:szCs w:val="21"/>
          <w14:textFill>
            <w14:solidFill>
              <w14:schemeClr w14:val="tx1"/>
            </w14:solidFill>
          </w14:textFill>
        </w:rPr>
      </w:pPr>
      <w:bookmarkStart w:id="408" w:name="_Toc351203645"/>
      <w:bookmarkStart w:id="409" w:name="_Toc297048405"/>
      <w:bookmarkStart w:id="410" w:name="_Toc296347218"/>
      <w:bookmarkStart w:id="411" w:name="_Toc297120519"/>
      <w:bookmarkStart w:id="412" w:name="_Toc303539172"/>
      <w:bookmarkStart w:id="413" w:name="_Toc292559929"/>
      <w:bookmarkStart w:id="414" w:name="_Toc296503219"/>
      <w:bookmarkStart w:id="415" w:name="_Toc296346720"/>
      <w:bookmarkStart w:id="416" w:name="_Toc304295593"/>
      <w:bookmarkStart w:id="417" w:name="_Toc296891047"/>
      <w:bookmarkStart w:id="418" w:name="_Toc300935015"/>
      <w:bookmarkStart w:id="419" w:name="_Toc297216223"/>
      <w:bookmarkStart w:id="420" w:name="_Toc296891259"/>
      <w:bookmarkStart w:id="421" w:name="_Toc296944558"/>
      <w:bookmarkStart w:id="422" w:name="_Toc297123564"/>
      <w:bookmarkStart w:id="423" w:name="_Toc292559424"/>
      <w:bookmarkStart w:id="424" w:name="_Toc312678053"/>
      <w:r>
        <w:rPr>
          <w:rFonts w:hint="eastAsia" w:cs="楷体_GB2312"/>
          <w:b/>
          <w:bCs/>
          <w:color w:val="000000" w:themeColor="text1"/>
          <w:sz w:val="21"/>
          <w:szCs w:val="21"/>
          <w14:textFill>
            <w14:solidFill>
              <w14:schemeClr w14:val="tx1"/>
            </w14:solidFill>
          </w14:textFill>
        </w:rPr>
        <w:t>13. 验收和工程试车</w:t>
      </w:r>
      <w:bookmarkEnd w:id="408"/>
    </w:p>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13.1 分部分项工程验收</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13.1.2监理人不能按时进行验收时，应提前</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24</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小时提交书面延期要求。</w:t>
      </w:r>
    </w:p>
    <w:p>
      <w:pPr>
        <w:adjustRightInd w:val="0"/>
        <w:snapToGrid w:val="0"/>
        <w:spacing w:line="560" w:lineRule="exact"/>
        <w:ind w:firstLine="420" w:firstLineChars="200"/>
        <w:rPr>
          <w:b/>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关于延期最长不得超过：</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48</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小时。</w:t>
      </w:r>
    </w:p>
    <w:p>
      <w:pPr>
        <w:adjustRightInd w:val="0"/>
        <w:snapToGrid w:val="0"/>
        <w:spacing w:line="560" w:lineRule="exact"/>
        <w:rPr>
          <w:rFonts w:cs="仿宋_GB2312"/>
          <w:b/>
          <w:bCs/>
          <w:color w:val="000000" w:themeColor="text1"/>
          <w:sz w:val="21"/>
          <w:szCs w:val="21"/>
          <w14:textFill>
            <w14:solidFill>
              <w14:schemeClr w14:val="tx1"/>
            </w14:solidFill>
          </w14:textFill>
        </w:rPr>
      </w:pPr>
      <w:bookmarkStart w:id="425" w:name="_Toc292559933"/>
      <w:bookmarkStart w:id="426" w:name="_Toc312678056"/>
      <w:bookmarkStart w:id="427" w:name="_Toc304295596"/>
      <w:bookmarkStart w:id="428" w:name="_Toc297048409"/>
      <w:bookmarkStart w:id="429" w:name="_Toc292559428"/>
      <w:bookmarkStart w:id="430" w:name="_Toc297216224"/>
      <w:bookmarkStart w:id="431" w:name="_Toc296891051"/>
      <w:bookmarkStart w:id="432" w:name="_Toc297123565"/>
      <w:bookmarkStart w:id="433" w:name="_Toc296503223"/>
      <w:bookmarkStart w:id="434" w:name="_Toc303539173"/>
      <w:bookmarkStart w:id="435" w:name="_Toc296891263"/>
      <w:bookmarkStart w:id="436" w:name="_Toc297120523"/>
      <w:bookmarkStart w:id="437" w:name="_Toc300935016"/>
      <w:bookmarkStart w:id="438" w:name="_Toc296346724"/>
      <w:bookmarkStart w:id="439" w:name="_Toc296944562"/>
      <w:bookmarkStart w:id="440" w:name="_Toc296347222"/>
      <w:bookmarkStart w:id="441" w:name="_Toc267251472"/>
      <w:bookmarkStart w:id="442" w:name="_Toc267251474"/>
      <w:bookmarkStart w:id="443" w:name="_Toc267251475"/>
      <w:bookmarkStart w:id="444" w:name="_Toc267251470"/>
      <w:bookmarkStart w:id="445" w:name="_Toc267251471"/>
      <w:bookmarkStart w:id="446" w:name="_Toc267251473"/>
      <w:bookmarkStart w:id="447" w:name="_Toc267251476"/>
      <w:r>
        <w:rPr>
          <w:rFonts w:hint="eastAsia" w:cs="仿宋_GB2312"/>
          <w:b/>
          <w:bCs/>
          <w:color w:val="000000" w:themeColor="text1"/>
          <w:sz w:val="21"/>
          <w:szCs w:val="21"/>
          <w14:textFill>
            <w14:solidFill>
              <w14:schemeClr w14:val="tx1"/>
            </w14:solidFill>
          </w14:textFill>
        </w:rPr>
        <w:t>13.2 竣工验收</w:t>
      </w:r>
    </w:p>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Pr>
        <w:adjustRightInd w:val="0"/>
        <w:snapToGrid w:val="0"/>
        <w:spacing w:line="560" w:lineRule="exact"/>
        <w:ind w:firstLine="420" w:firstLineChars="200"/>
        <w:rPr>
          <w:color w:val="000000" w:themeColor="text1"/>
          <w:sz w:val="21"/>
          <w:szCs w:val="21"/>
          <w14:textFill>
            <w14:solidFill>
              <w14:schemeClr w14:val="tx1"/>
            </w14:solidFill>
          </w14:textFill>
        </w:rPr>
      </w:pPr>
      <w:bookmarkStart w:id="448" w:name="_Toc280868704"/>
      <w:bookmarkStart w:id="449" w:name="_Toc280868705"/>
      <w:bookmarkStart w:id="450" w:name="_Toc280868706"/>
      <w:bookmarkStart w:id="451" w:name="_Toc280868707"/>
      <w:bookmarkStart w:id="452" w:name="_Toc280868708"/>
      <w:bookmarkStart w:id="453" w:name="_Toc280868709"/>
      <w:r>
        <w:rPr>
          <w:rFonts w:hint="eastAsia"/>
          <w:color w:val="000000" w:themeColor="text1"/>
          <w:sz w:val="21"/>
          <w:szCs w:val="21"/>
          <w14:textFill>
            <w14:solidFill>
              <w14:schemeClr w14:val="tx1"/>
            </w14:solidFill>
          </w14:textFill>
        </w:rPr>
        <w:t>13.2.2竣工验收程序</w:t>
      </w:r>
    </w:p>
    <w:bookmarkEnd w:id="448"/>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关于竣工验收程序的约定：</w:t>
      </w:r>
      <w:r>
        <w:rPr>
          <w:rFonts w:hint="eastAsia"/>
          <w:color w:val="000000" w:themeColor="text1"/>
          <w:sz w:val="21"/>
          <w:szCs w:val="21"/>
          <w:u w:val="single"/>
          <w14:textFill>
            <w14:solidFill>
              <w14:schemeClr w14:val="tx1"/>
            </w14:solidFill>
          </w14:textFill>
        </w:rPr>
        <w:t xml:space="preserve">   执行通用合同条款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发包人不按照本项约定组织竣工验收、颁发工程接收证书的违约金的计算方法：</w:t>
      </w:r>
      <w:r>
        <w:rPr>
          <w:rFonts w:hint="eastAsia"/>
          <w:color w:val="000000" w:themeColor="text1"/>
          <w:sz w:val="21"/>
          <w:szCs w:val="21"/>
          <w:u w:val="single"/>
          <w14:textFill>
            <w14:solidFill>
              <w14:schemeClr w14:val="tx1"/>
            </w14:solidFill>
          </w14:textFill>
        </w:rPr>
        <w:t xml:space="preserve"> 本条不采用 </w:t>
      </w:r>
      <w:r>
        <w:rPr>
          <w:rFonts w:hint="eastAsia"/>
          <w:color w:val="000000" w:themeColor="text1"/>
          <w:sz w:val="21"/>
          <w:szCs w:val="21"/>
          <w14:textFill>
            <w14:solidFill>
              <w14:schemeClr w14:val="tx1"/>
            </w14:solidFill>
          </w14:textFill>
        </w:rPr>
        <w:t>。</w:t>
      </w:r>
    </w:p>
    <w:bookmarkEnd w:id="449"/>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13.2.5移交、接收全部与部分工程</w:t>
      </w:r>
    </w:p>
    <w:bookmarkEnd w:id="450"/>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承包人向发包人移交工程的期限：</w:t>
      </w:r>
      <w:r>
        <w:rPr>
          <w:rFonts w:hint="eastAsia"/>
          <w:color w:val="000000" w:themeColor="text1"/>
          <w:sz w:val="21"/>
          <w:szCs w:val="21"/>
          <w:u w:val="single"/>
          <w14:textFill>
            <w14:solidFill>
              <w14:schemeClr w14:val="tx1"/>
            </w14:solidFill>
          </w14:textFill>
        </w:rPr>
        <w:t xml:space="preserve">  执行通用合同条款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发包人未按本合同约定接收全部或部分工程的，违约金的计算方法为：</w:t>
      </w:r>
      <w:r>
        <w:rPr>
          <w:rFonts w:hint="eastAsia"/>
          <w:color w:val="000000" w:themeColor="text1"/>
          <w:sz w:val="21"/>
          <w:szCs w:val="21"/>
          <w:u w:val="single"/>
          <w14:textFill>
            <w14:solidFill>
              <w14:schemeClr w14:val="tx1"/>
            </w14:solidFill>
          </w14:textFill>
        </w:rPr>
        <w:t>发包人不支付违约金，因此造成承包人看管、维护等一切费用由承包人自行承担</w:t>
      </w:r>
      <w:r>
        <w:rPr>
          <w:rFonts w:hint="eastAsia"/>
          <w:color w:val="000000" w:themeColor="text1"/>
          <w:sz w:val="21"/>
          <w:szCs w:val="21"/>
          <w14:textFill>
            <w14:solidFill>
              <w14:schemeClr w14:val="tx1"/>
            </w14:solidFill>
          </w14:textFill>
        </w:rPr>
        <w:t>。</w:t>
      </w:r>
    </w:p>
    <w:bookmarkEnd w:id="451"/>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承包人未按时移交工程的，违约金的计算方法为：</w:t>
      </w:r>
      <w:r>
        <w:rPr>
          <w:rFonts w:hint="eastAsia"/>
          <w:color w:val="000000" w:themeColor="text1"/>
          <w:sz w:val="21"/>
          <w:szCs w:val="21"/>
          <w:u w:val="single"/>
          <w14:textFill>
            <w14:solidFill>
              <w14:schemeClr w14:val="tx1"/>
            </w14:solidFill>
          </w14:textFill>
        </w:rPr>
        <w:t>参见合同专用条款 7.5.2 条标准执 行</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13.3 工程试车</w:t>
      </w:r>
    </w:p>
    <w:bookmarkEnd w:id="452"/>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13.3.1 试车程序</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工程试车内容：</w:t>
      </w:r>
      <w:r>
        <w:rPr>
          <w:rFonts w:hint="eastAsia"/>
          <w:color w:val="000000" w:themeColor="text1"/>
          <w:sz w:val="21"/>
          <w:szCs w:val="21"/>
          <w:u w:val="single"/>
          <w14:textFill>
            <w14:solidFill>
              <w14:schemeClr w14:val="tx1"/>
            </w14:solidFill>
          </w14:textFill>
        </w:rPr>
        <w:t xml:space="preserve"> 执行通用合同条款</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（1）单机无负荷试车费用由</w:t>
      </w:r>
      <w:r>
        <w:rPr>
          <w:rFonts w:hint="eastAsia"/>
          <w:color w:val="000000" w:themeColor="text1"/>
          <w:sz w:val="21"/>
          <w:szCs w:val="21"/>
          <w:u w:val="single"/>
          <w14:textFill>
            <w14:solidFill>
              <w14:schemeClr w14:val="tx1"/>
            </w14:solidFill>
          </w14:textFill>
        </w:rPr>
        <w:t xml:space="preserve">  承包人  </w:t>
      </w:r>
      <w:r>
        <w:rPr>
          <w:rFonts w:hint="eastAsia"/>
          <w:color w:val="000000" w:themeColor="text1"/>
          <w:sz w:val="21"/>
          <w:szCs w:val="21"/>
          <w14:textFill>
            <w14:solidFill>
              <w14:schemeClr w14:val="tx1"/>
            </w14:solidFill>
          </w14:textFill>
        </w:rPr>
        <w:t>承担；</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（2）无负荷联动试车费用由</w:t>
      </w:r>
      <w:r>
        <w:rPr>
          <w:rFonts w:hint="eastAsia"/>
          <w:color w:val="000000" w:themeColor="text1"/>
          <w:sz w:val="21"/>
          <w:szCs w:val="21"/>
          <w:u w:val="single"/>
          <w14:textFill>
            <w14:solidFill>
              <w14:schemeClr w14:val="tx1"/>
            </w14:solidFill>
          </w14:textFill>
        </w:rPr>
        <w:t xml:space="preserve">  承包人  </w:t>
      </w:r>
      <w:r>
        <w:rPr>
          <w:rFonts w:hint="eastAsia"/>
          <w:color w:val="000000" w:themeColor="text1"/>
          <w:sz w:val="21"/>
          <w:szCs w:val="21"/>
          <w14:textFill>
            <w14:solidFill>
              <w14:schemeClr w14:val="tx1"/>
            </w14:solidFill>
          </w14:textFill>
        </w:rPr>
        <w:t>承担。</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13.3.3投料试车</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关于投料试车相关事项的约定：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13.6 竣工退场</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13.6.1 竣工退场</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承包人完成竣工退场的期限：</w:t>
      </w:r>
      <w:r>
        <w:rPr>
          <w:rFonts w:hint="eastAsia"/>
          <w:color w:val="000000" w:themeColor="text1"/>
          <w:sz w:val="21"/>
          <w:szCs w:val="21"/>
          <w:u w:val="single"/>
          <w14:textFill>
            <w14:solidFill>
              <w14:schemeClr w14:val="tx1"/>
            </w14:solidFill>
          </w14:textFill>
        </w:rPr>
        <w:t xml:space="preserve">   工程竣工验收合格后 7 日内  </w:t>
      </w:r>
      <w:r>
        <w:rPr>
          <w:rFonts w:hint="eastAsia"/>
          <w:color w:val="000000" w:themeColor="text1"/>
          <w:sz w:val="21"/>
          <w:szCs w:val="21"/>
          <w14:textFill>
            <w14:solidFill>
              <w14:schemeClr w14:val="tx1"/>
            </w14:solidFill>
          </w14:textFill>
        </w:rPr>
        <w:t>。</w:t>
      </w:r>
    </w:p>
    <w:p>
      <w:pPr>
        <w:adjustRightInd w:val="0"/>
        <w:snapToGrid w:val="0"/>
        <w:spacing w:line="560" w:lineRule="exact"/>
        <w:outlineLvl w:val="2"/>
        <w:rPr>
          <w:rFonts w:cs="楷体_GB2312"/>
          <w:b/>
          <w:bCs/>
          <w:color w:val="000000" w:themeColor="text1"/>
          <w:sz w:val="21"/>
          <w:szCs w:val="21"/>
          <w14:textFill>
            <w14:solidFill>
              <w14:schemeClr w14:val="tx1"/>
            </w14:solidFill>
          </w14:textFill>
        </w:rPr>
      </w:pPr>
      <w:r>
        <w:rPr>
          <w:rFonts w:hint="eastAsia" w:cs="楷体_GB2312"/>
          <w:b/>
          <w:bCs/>
          <w:color w:val="000000" w:themeColor="text1"/>
          <w:sz w:val="21"/>
          <w:szCs w:val="21"/>
          <w14:textFill>
            <w14:solidFill>
              <w14:schemeClr w14:val="tx1"/>
            </w14:solidFill>
          </w14:textFill>
        </w:rPr>
        <w:t>14. 竣工结算</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14.1 竣工结算申请</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承包人提交竣工结算申请单的期限：</w:t>
      </w:r>
      <w:r>
        <w:rPr>
          <w:rFonts w:hint="eastAsia"/>
          <w:color w:val="000000" w:themeColor="text1"/>
          <w:sz w:val="21"/>
          <w:szCs w:val="21"/>
          <w:u w:val="single"/>
          <w14:textFill>
            <w14:solidFill>
              <w14:schemeClr w14:val="tx1"/>
            </w14:solidFill>
          </w14:textFill>
        </w:rPr>
        <w:t xml:space="preserve">  竣工验收合格后28天之内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竣工结算申请单应包括的内容：</w:t>
      </w:r>
      <w:r>
        <w:rPr>
          <w:rFonts w:hint="eastAsia"/>
          <w:color w:val="000000" w:themeColor="text1"/>
          <w:sz w:val="21"/>
          <w:szCs w:val="21"/>
          <w:u w:val="single"/>
          <w14:textFill>
            <w14:solidFill>
              <w14:schemeClr w14:val="tx1"/>
            </w14:solidFill>
          </w14:textFill>
        </w:rPr>
        <w:t xml:space="preserve">  执行通用合同条款  </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14.2 竣工结算审核</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发包人审批竣工付款申请单的期限：</w:t>
      </w:r>
      <w:r>
        <w:rPr>
          <w:rFonts w:hint="eastAsia"/>
          <w:color w:val="000000" w:themeColor="text1"/>
          <w:sz w:val="21"/>
          <w:szCs w:val="21"/>
          <w:u w:val="single"/>
          <w14:textFill>
            <w14:solidFill>
              <w14:schemeClr w14:val="tx1"/>
            </w14:solidFill>
          </w14:textFill>
        </w:rPr>
        <w:t xml:space="preserve">  竣工验收合格后收到承包人提交的全部竣工结算资料三个月内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发包人完成竣工付款的期限：</w:t>
      </w:r>
      <w:r>
        <w:rPr>
          <w:rFonts w:hint="eastAsia"/>
          <w:color w:val="000000" w:themeColor="text1"/>
          <w:sz w:val="21"/>
          <w:szCs w:val="21"/>
          <w:u w:val="single"/>
          <w14:textFill>
            <w14:solidFill>
              <w14:schemeClr w14:val="tx1"/>
            </w14:solidFill>
          </w14:textFill>
        </w:rPr>
        <w:t xml:space="preserve"> 竣工验收合格后收到承包人提交的全部竣工结算资料后三个月之内完成审计并支付相应的工程款。但由于承包人资料不全则该三个月期限将从承包人补齐资料之日起重新计算；若在造价审核过程中产生争议，则争议事件不计入审核期限内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关于竣工付款证书异议部分复核的方式和程序：</w:t>
      </w:r>
      <w:r>
        <w:rPr>
          <w:rFonts w:hint="eastAsia"/>
          <w:color w:val="000000" w:themeColor="text1"/>
          <w:sz w:val="21"/>
          <w:szCs w:val="21"/>
          <w:u w:val="single"/>
          <w14:textFill>
            <w14:solidFill>
              <w14:schemeClr w14:val="tx1"/>
            </w14:solidFill>
          </w14:textFill>
        </w:rPr>
        <w:t xml:space="preserve"> 执行通用合同条款</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14.4最终结清</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14.4.1 最终结清申请单</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承包人提交最终结清申请单的份数：</w:t>
      </w:r>
      <w:r>
        <w:rPr>
          <w:rFonts w:hint="eastAsia"/>
          <w:color w:val="000000" w:themeColor="text1"/>
          <w:sz w:val="21"/>
          <w:szCs w:val="21"/>
          <w:u w:val="single"/>
          <w14:textFill>
            <w14:solidFill>
              <w14:schemeClr w14:val="tx1"/>
            </w14:solidFill>
          </w14:textFill>
        </w:rPr>
        <w:t xml:space="preserve">  肆份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承包人提交最终结算申请单的期限：</w:t>
      </w:r>
      <w:r>
        <w:rPr>
          <w:rFonts w:hint="eastAsia"/>
          <w:color w:val="000000" w:themeColor="text1"/>
          <w:sz w:val="21"/>
          <w:szCs w:val="21"/>
          <w:u w:val="single"/>
          <w14:textFill>
            <w14:solidFill>
              <w14:schemeClr w14:val="tx1"/>
            </w14:solidFill>
          </w14:textFill>
        </w:rPr>
        <w:t xml:space="preserve">  执行通用合同条款  </w:t>
      </w:r>
      <w:r>
        <w:rPr>
          <w:rFonts w:hint="eastAsia"/>
          <w:color w:val="000000" w:themeColor="text1"/>
          <w:sz w:val="21"/>
          <w:szCs w:val="21"/>
          <w14:textFill>
            <w14:solidFill>
              <w14:schemeClr w14:val="tx1"/>
            </w14:solidFill>
          </w14:textFill>
        </w:rPr>
        <w:t xml:space="preserve">。 </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14.4.2 最终结清证书和支付</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（1）发包人完成最终结清申请单的审批并颁发最终结清证书的期限：</w:t>
      </w:r>
      <w:r>
        <w:rPr>
          <w:rFonts w:hint="eastAsia"/>
          <w:color w:val="000000" w:themeColor="text1"/>
          <w:sz w:val="21"/>
          <w:szCs w:val="21"/>
          <w:u w:val="single"/>
          <w14:textFill>
            <w14:solidFill>
              <w14:schemeClr w14:val="tx1"/>
            </w14:solidFill>
          </w14:textFill>
        </w:rPr>
        <w:t xml:space="preserve"> 执行通用合同条款</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（2）发包人完成支付的期限：</w:t>
      </w:r>
      <w:r>
        <w:rPr>
          <w:rFonts w:hint="eastAsia"/>
          <w:color w:val="000000" w:themeColor="text1"/>
          <w:sz w:val="21"/>
          <w:szCs w:val="21"/>
          <w:u w:val="single"/>
          <w14:textFill>
            <w14:solidFill>
              <w14:schemeClr w14:val="tx1"/>
            </w14:solidFill>
          </w14:textFill>
        </w:rPr>
        <w:t xml:space="preserve"> 执行通用合同条款</w:t>
      </w:r>
      <w:r>
        <w:rPr>
          <w:rFonts w:hint="eastAsia"/>
          <w:color w:val="000000" w:themeColor="text1"/>
          <w:sz w:val="21"/>
          <w:szCs w:val="21"/>
          <w14:textFill>
            <w14:solidFill>
              <w14:schemeClr w14:val="tx1"/>
            </w14:solidFill>
          </w14:textFill>
        </w:rPr>
        <w:t>。</w:t>
      </w:r>
    </w:p>
    <w:bookmarkEnd w:id="441"/>
    <w:bookmarkEnd w:id="442"/>
    <w:bookmarkEnd w:id="443"/>
    <w:bookmarkEnd w:id="444"/>
    <w:bookmarkEnd w:id="445"/>
    <w:bookmarkEnd w:id="446"/>
    <w:bookmarkEnd w:id="447"/>
    <w:bookmarkEnd w:id="453"/>
    <w:p>
      <w:pPr>
        <w:adjustRightInd w:val="0"/>
        <w:snapToGrid w:val="0"/>
        <w:spacing w:line="560" w:lineRule="exact"/>
        <w:outlineLvl w:val="2"/>
        <w:rPr>
          <w:rFonts w:cs="楷体_GB2312"/>
          <w:b/>
          <w:bCs/>
          <w:color w:val="000000" w:themeColor="text1"/>
          <w:sz w:val="21"/>
          <w:szCs w:val="21"/>
          <w14:textFill>
            <w14:solidFill>
              <w14:schemeClr w14:val="tx1"/>
            </w14:solidFill>
          </w14:textFill>
        </w:rPr>
      </w:pPr>
      <w:bookmarkStart w:id="454" w:name="_Toc267251485"/>
      <w:bookmarkStart w:id="455" w:name="_Toc267251489"/>
      <w:bookmarkStart w:id="456" w:name="_Toc267251490"/>
      <w:bookmarkStart w:id="457" w:name="_Toc267251486"/>
      <w:bookmarkStart w:id="458" w:name="_Toc267251488"/>
      <w:bookmarkStart w:id="459" w:name="_Toc267251493"/>
      <w:bookmarkStart w:id="460" w:name="_Toc267251494"/>
      <w:bookmarkStart w:id="461" w:name="_Toc267251503"/>
      <w:bookmarkStart w:id="462" w:name="_Toc267251497"/>
      <w:bookmarkStart w:id="463" w:name="_Toc267251496"/>
      <w:bookmarkStart w:id="464" w:name="_Toc267251501"/>
      <w:bookmarkStart w:id="465" w:name="_Toc267251495"/>
      <w:bookmarkStart w:id="466" w:name="_Toc267251491"/>
      <w:bookmarkStart w:id="467" w:name="_Toc267251492"/>
      <w:bookmarkStart w:id="468" w:name="_Toc267251498"/>
      <w:bookmarkStart w:id="469" w:name="_Toc267251502"/>
      <w:bookmarkStart w:id="470" w:name="_Toc267251499"/>
      <w:bookmarkStart w:id="471" w:name="_Toc267251506"/>
      <w:bookmarkStart w:id="472" w:name="_Toc267251504"/>
      <w:bookmarkStart w:id="473" w:name="_Toc267251507"/>
      <w:bookmarkStart w:id="474" w:name="_Toc267251508"/>
      <w:bookmarkStart w:id="475" w:name="_Toc267251511"/>
      <w:bookmarkStart w:id="476" w:name="_Toc267251509"/>
      <w:bookmarkStart w:id="477" w:name="_Toc267251514"/>
      <w:bookmarkStart w:id="478" w:name="_Toc267251513"/>
      <w:bookmarkStart w:id="479" w:name="_Toc267251510"/>
      <w:bookmarkStart w:id="480" w:name="_Toc267251515"/>
      <w:r>
        <w:rPr>
          <w:rFonts w:hint="eastAsia" w:cs="楷体_GB2312"/>
          <w:b/>
          <w:bCs/>
          <w:color w:val="000000" w:themeColor="text1"/>
          <w:sz w:val="21"/>
          <w:szCs w:val="21"/>
          <w14:textFill>
            <w14:solidFill>
              <w14:schemeClr w14:val="tx1"/>
            </w14:solidFill>
          </w14:textFill>
        </w:rPr>
        <w:t>15. 缺陷责任期与保修</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15.2缺陷责任期</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缺陷责任期的具体期限：</w:t>
      </w:r>
      <w:r>
        <w:rPr>
          <w:rFonts w:hint="eastAsia"/>
          <w:color w:val="000000" w:themeColor="text1"/>
          <w:sz w:val="21"/>
          <w:szCs w:val="21"/>
          <w:u w:val="single"/>
          <w14:textFill>
            <w14:solidFill>
              <w14:schemeClr w14:val="tx1"/>
            </w14:solidFill>
          </w14:textFill>
        </w:rPr>
        <w:t xml:space="preserve">  24个月 </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15.3质量保证金</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关于是否扣留质量保证金的约定：</w:t>
      </w:r>
      <w:r>
        <w:rPr>
          <w:rFonts w:hint="eastAsia"/>
          <w:color w:val="000000" w:themeColor="text1"/>
          <w:sz w:val="21"/>
          <w:szCs w:val="21"/>
          <w:u w:val="single"/>
          <w14:textFill>
            <w14:solidFill>
              <w14:schemeClr w14:val="tx1"/>
            </w14:solidFill>
          </w14:textFill>
        </w:rPr>
        <w:t xml:space="preserve"> 扣留质量保证金 </w:t>
      </w:r>
      <w:r>
        <w:rPr>
          <w:rFonts w:hint="eastAsia"/>
          <w:color w:val="000000" w:themeColor="text1"/>
          <w:sz w:val="21"/>
          <w:szCs w:val="21"/>
          <w14:textFill>
            <w14:solidFill>
              <w14:schemeClr w14:val="tx1"/>
            </w14:solidFill>
          </w14:textFill>
        </w:rPr>
        <w:t>。在工程项目竣工前，承包人按专用合同条款第3.7条提供履约担保的，发包人不得同时预留工程质量保证金。</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15.3.1 承包人提供质量保证金的方式</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承包人提供质量保证金有以下三种方式：</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（1）金融机构保函，保证金额为：</w:t>
      </w:r>
      <w:r>
        <w:rPr>
          <w:rFonts w:hint="eastAsia"/>
          <w:color w:val="000000" w:themeColor="text1"/>
          <w:sz w:val="21"/>
          <w:szCs w:val="21"/>
          <w:u w:val="single"/>
          <w14:textFill>
            <w14:solidFill>
              <w14:schemeClr w14:val="tx1"/>
            </w14:solidFill>
          </w14:textFill>
        </w:rPr>
        <w:t xml:space="preserve">   3   %的工程款 </w:t>
      </w:r>
      <w:r>
        <w:rPr>
          <w:rFonts w:hint="eastAsia"/>
          <w:color w:val="000000" w:themeColor="text1"/>
          <w:sz w:val="21"/>
          <w:szCs w:val="21"/>
          <w14:textFill>
            <w14:solidFill>
              <w14:schemeClr w14:val="tx1"/>
            </w14:solidFill>
          </w14:textFill>
        </w:rPr>
        <w:t xml:space="preserve">； </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3</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%的工程款；</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（3）其他方式:    </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15.3.2 质量保证金的扣留 </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质量保证金的扣留采取以下第</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(1)或（2）</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种方式：</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（1）在支付工程进度款时逐次扣留，在此情形下，质量保证金的计算基数不包括预付款的支付、扣回以及价格调整的金额；</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（2）工程竣工结算时一次性扣留质量保证金；</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（3）其他扣留方式:</w:t>
      </w:r>
      <w:r>
        <w:rPr>
          <w:rFonts w:hint="eastAsia"/>
          <w:color w:val="000000" w:themeColor="text1"/>
          <w:sz w:val="21"/>
          <w:szCs w:val="21"/>
          <w:lang w:val="en-US"/>
          <w14:textFill>
            <w14:solidFill>
              <w14:schemeClr w14:val="tx1"/>
            </w14:solidFill>
          </w14:textFill>
        </w:rPr>
        <w:t xml:space="preserve">  / </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关于质量保证金的补充约定：</w:t>
      </w:r>
      <w:r>
        <w:rPr>
          <w:rFonts w:hint="eastAsia"/>
          <w:color w:val="000000" w:themeColor="text1"/>
          <w:sz w:val="21"/>
          <w:szCs w:val="21"/>
          <w:u w:val="single"/>
          <w14:textFill>
            <w14:solidFill>
              <w14:schemeClr w14:val="tx1"/>
            </w14:solidFill>
          </w14:textFill>
        </w:rPr>
        <w:t xml:space="preserve"> 如在质保期内出现质量问题，导致的维护费用应全部由承包人支付。如承包人没有在规定的时间内响应维修，发包人有权委托具有相关经验的单位进行维修，且费用由承包人支付或直接从质量保证金中扣除，该维修费用承包人必须无条件接受 ；缺陷责任期满且无质量问题，承包人应及时办理退款申请手续 </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15.4保修</w:t>
      </w:r>
    </w:p>
    <w:bookmarkEnd w:id="454"/>
    <w:p>
      <w:pPr>
        <w:adjustRightInd w:val="0"/>
        <w:snapToGrid w:val="0"/>
        <w:spacing w:line="560" w:lineRule="exact"/>
        <w:ind w:firstLine="409" w:firstLineChars="19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15.4.1 保修责任</w:t>
      </w:r>
    </w:p>
    <w:p>
      <w:pPr>
        <w:adjustRightInd w:val="0"/>
        <w:snapToGrid w:val="0"/>
        <w:spacing w:line="560" w:lineRule="exact"/>
        <w:ind w:firstLine="409" w:firstLineChars="195"/>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工程保修期为：</w:t>
      </w:r>
      <w:r>
        <w:rPr>
          <w:rFonts w:hint="eastAsia"/>
          <w:color w:val="000000" w:themeColor="text1"/>
          <w:sz w:val="21"/>
          <w:szCs w:val="21"/>
          <w:u w:val="single"/>
          <w14:textFill>
            <w14:solidFill>
              <w14:schemeClr w14:val="tx1"/>
            </w14:solidFill>
          </w14:textFill>
        </w:rPr>
        <w:t xml:space="preserve">  地基基础工程和主体结构工程为设计规定的该工程合理使用年限；</w:t>
      </w:r>
    </w:p>
    <w:p>
      <w:pPr>
        <w:adjustRightInd w:val="0"/>
        <w:snapToGrid w:val="0"/>
        <w:spacing w:line="560" w:lineRule="exact"/>
        <w:ind w:firstLine="409" w:firstLineChars="195"/>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电器管道、给排水管道、设备安装工程为2年；</w:t>
      </w:r>
    </w:p>
    <w:p>
      <w:pPr>
        <w:adjustRightInd w:val="0"/>
        <w:snapToGrid w:val="0"/>
        <w:spacing w:line="560" w:lineRule="exact"/>
        <w:ind w:firstLine="409" w:firstLineChars="195"/>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给排水设施、道路等配套工程为2年；</w:t>
      </w:r>
    </w:p>
    <w:p>
      <w:pPr>
        <w:adjustRightInd w:val="0"/>
        <w:snapToGrid w:val="0"/>
        <w:spacing w:line="560" w:lineRule="exact"/>
        <w:ind w:firstLine="409" w:firstLineChars="195"/>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绿化养护期1年；</w:t>
      </w:r>
    </w:p>
    <w:p>
      <w:pPr>
        <w:adjustRightInd w:val="0"/>
        <w:snapToGrid w:val="0"/>
        <w:spacing w:line="560" w:lineRule="exact"/>
        <w:ind w:firstLine="409" w:firstLineChars="195"/>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 xml:space="preserve">其他工程（包括但不限于防腐防虫等未单独列出的工程内容）为2年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09" w:firstLineChars="19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15.4.3修复通知</w:t>
      </w:r>
    </w:p>
    <w:p>
      <w:pPr>
        <w:adjustRightInd w:val="0"/>
        <w:snapToGrid w:val="0"/>
        <w:spacing w:line="560" w:lineRule="exact"/>
        <w:ind w:firstLine="409" w:firstLineChars="195"/>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承包人收到保修通知并到达工程现场的合理时间：</w:t>
      </w:r>
      <w:r>
        <w:rPr>
          <w:rFonts w:hint="eastAsia"/>
          <w:color w:val="000000" w:themeColor="text1"/>
          <w:sz w:val="21"/>
          <w:szCs w:val="21"/>
          <w:u w:val="single"/>
          <w14:textFill>
            <w14:solidFill>
              <w14:schemeClr w14:val="tx1"/>
            </w14:solidFill>
          </w14:textFill>
        </w:rPr>
        <w:t xml:space="preserve"> 2 日内</w:t>
      </w:r>
      <w:r>
        <w:rPr>
          <w:rFonts w:hint="eastAsia"/>
          <w:color w:val="000000" w:themeColor="text1"/>
          <w:sz w:val="21"/>
          <w:szCs w:val="21"/>
          <w14:textFill>
            <w14:solidFill>
              <w14:schemeClr w14:val="tx1"/>
            </w14:solidFill>
          </w14:textFill>
        </w:rPr>
        <w:t>。</w:t>
      </w:r>
    </w:p>
    <w:bookmarkEnd w:id="455"/>
    <w:bookmarkEnd w:id="456"/>
    <w:bookmarkEnd w:id="457"/>
    <w:bookmarkEnd w:id="458"/>
    <w:p>
      <w:pPr>
        <w:adjustRightInd w:val="0"/>
        <w:snapToGrid w:val="0"/>
        <w:spacing w:line="560" w:lineRule="exact"/>
        <w:outlineLvl w:val="2"/>
        <w:rPr>
          <w:rFonts w:cs="楷体_GB2312"/>
          <w:b/>
          <w:bCs/>
          <w:color w:val="000000" w:themeColor="text1"/>
          <w:sz w:val="21"/>
          <w:szCs w:val="21"/>
          <w14:textFill>
            <w14:solidFill>
              <w14:schemeClr w14:val="tx1"/>
            </w14:solidFill>
          </w14:textFill>
        </w:rPr>
      </w:pPr>
      <w:bookmarkStart w:id="481" w:name="_Toc351203648"/>
      <w:bookmarkStart w:id="482" w:name="_Toc280868717"/>
      <w:bookmarkStart w:id="483" w:name="_Toc280868718"/>
      <w:r>
        <w:rPr>
          <w:rFonts w:hint="eastAsia" w:cs="楷体_GB2312"/>
          <w:b/>
          <w:bCs/>
          <w:color w:val="000000" w:themeColor="text1"/>
          <w:sz w:val="21"/>
          <w:szCs w:val="21"/>
          <w14:textFill>
            <w14:solidFill>
              <w14:schemeClr w14:val="tx1"/>
            </w14:solidFill>
          </w14:textFill>
        </w:rPr>
        <w:t>16. 违约</w:t>
      </w:r>
      <w:bookmarkEnd w:id="481"/>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16.1 发包人违约</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16.1.1发包人违约的情形</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发包人违约的其他情形：</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left="1100" w:hanging="1050" w:hangingChars="5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16.1.2 发包人违约的责任</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发包人违约责任的承担方式和计算方法：</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（1）因发包人原因未能在计划开工日期前7天内下达开工通知的违约责任：</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（2）因发包人原因未能按合同约定支付合同价款的违约责任：</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（3）发包人违反第10.1款〔变更的范围〕第（2）项约定，自行实施被取消的工作或转由他人实施的违约责任：</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（5）因发包人违反合同约定造成暂停施工的违约责任：</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（6）发包人无正当理由没有在约定期限内发出复工指示，导致承包人无法复工的违约责任：</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（7）其他：</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16.1.3 因发包人违约解除合同</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承包人按16.1.1项〔发包人违约的情形〕约定暂停施工满</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天后发包人仍不纠正其违约行为并致使合同目的不能实现的，承包人有权解除合同。</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16.2 承包人违约</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16.2.1 承包人违约的情形</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承包人违约的其他情形：</w:t>
      </w:r>
      <w:r>
        <w:rPr>
          <w:rFonts w:hint="eastAsia"/>
          <w:color w:val="000000" w:themeColor="text1"/>
          <w:sz w:val="21"/>
          <w:szCs w:val="21"/>
          <w:u w:val="single"/>
          <w14:textFill>
            <w14:solidFill>
              <w14:schemeClr w14:val="tx1"/>
            </w14:solidFill>
          </w14:textFill>
        </w:rPr>
        <w:t xml:space="preserve">  执行通用合同条款及发包人有关规定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16.2.2承包人违约的责任</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承包人违约责任的承担方式和计算方法：</w:t>
      </w:r>
      <w:r>
        <w:rPr>
          <w:rFonts w:hint="eastAsia"/>
          <w:color w:val="000000" w:themeColor="text1"/>
          <w:sz w:val="21"/>
          <w:szCs w:val="21"/>
          <w:u w:val="single"/>
          <w14:textFill>
            <w14:solidFill>
              <w14:schemeClr w14:val="tx1"/>
            </w14:solidFill>
          </w14:textFill>
        </w:rPr>
        <w:t xml:space="preserve"> 16.2.2.1 承包人如在施工质量、安全方面存在的隐患，符合以下条件之一的，发包人可委托他人完成该项工作，实际产生费用由承包人承担，并收取承包人完成该项工作同等额度的违约金：</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（1）承包人未能在14天完成整改或无法提供有监理单位确认书面理由的，发包人视为无能力按招标文件履行合同的。</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（2）承包人未按发包人要求采取有力措施对有关问题进行整改的。</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（3）整改后无明显成效的。</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（4）承包人拒不执行监理通知及指令的。</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16.2.2.2 承包人施工的分部分项工程质量达不到合同约定的，应及时整改至约定的质量标准，并向发包人支付与该分部分项工程合同造价等额的违约金。</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16.2.2.3承包人必须根据发包人及相关部门要求采取切实可行的措施并确保不影响周边交通畅通、各种管线安全运营、沿线居民出行、水系及管网畅通，将施工给社会带来的影响降低到最低限度。因承包人措施不力引起上述不良影响，产生的相关责任由承包人承担，且每发生一次收取承包人</w:t>
      </w:r>
      <w:r>
        <w:rPr>
          <w:rFonts w:hint="eastAsia"/>
          <w:color w:val="FF0000"/>
          <w:sz w:val="21"/>
          <w:szCs w:val="21"/>
          <w:u w:val="single"/>
        </w:rPr>
        <w:t xml:space="preserve"> </w:t>
      </w:r>
      <w:r>
        <w:rPr>
          <w:rFonts w:hint="eastAsia"/>
          <w:color w:val="FF0000"/>
          <w:sz w:val="21"/>
          <w:szCs w:val="21"/>
          <w:u w:val="single"/>
          <w:lang w:val="en-US" w:eastAsia="zh-CN"/>
        </w:rPr>
        <w:t xml:space="preserve">5000 </w:t>
      </w:r>
      <w:r>
        <w:rPr>
          <w:rFonts w:hint="eastAsia"/>
          <w:color w:val="FF0000"/>
          <w:sz w:val="21"/>
          <w:szCs w:val="21"/>
          <w:u w:val="single"/>
        </w:rPr>
        <w:t>元</w:t>
      </w:r>
      <w:r>
        <w:rPr>
          <w:rFonts w:hint="eastAsia"/>
          <w:color w:val="000000" w:themeColor="text1"/>
          <w:sz w:val="21"/>
          <w:szCs w:val="21"/>
          <w:u w:val="single"/>
          <w14:textFill>
            <w14:solidFill>
              <w14:schemeClr w14:val="tx1"/>
            </w14:solidFill>
          </w14:textFill>
        </w:rPr>
        <w:t>的违约金。</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 xml:space="preserve">16.2.2.4承包人必须服从发包人及监理单位的调度，做好迎检及其他有关事项的协调配合工作，若承包人拒不执行的，收取承包人 </w:t>
      </w:r>
      <w:r>
        <w:rPr>
          <w:rFonts w:hint="eastAsia"/>
          <w:color w:val="FF0000"/>
          <w:sz w:val="21"/>
          <w:szCs w:val="21"/>
          <w:u w:val="single"/>
        </w:rPr>
        <w:t>5000 元/次</w:t>
      </w:r>
      <w:r>
        <w:rPr>
          <w:rFonts w:hint="eastAsia"/>
          <w:color w:val="000000" w:themeColor="text1"/>
          <w:sz w:val="21"/>
          <w:szCs w:val="21"/>
          <w:u w:val="single"/>
          <w14:textFill>
            <w14:solidFill>
              <w14:schemeClr w14:val="tx1"/>
            </w14:solidFill>
          </w14:textFill>
        </w:rPr>
        <w:t>的违约金。</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 xml:space="preserve">16.2.2.5监理工程师下发监理通知单后，承包人应按监理通知单立即进行整改并按时回复，监理工程师对同一问题再次下发监理通知单时，每份监理通知单发包人收取承包人 </w:t>
      </w:r>
      <w:r>
        <w:rPr>
          <w:rFonts w:hint="eastAsia"/>
          <w:color w:val="000000" w:themeColor="text1"/>
          <w:sz w:val="21"/>
          <w:szCs w:val="21"/>
          <w:u w:val="single"/>
          <w:lang w:val="en-US" w:eastAsia="zh-CN"/>
          <w14:textFill>
            <w14:solidFill>
              <w14:schemeClr w14:val="tx1"/>
            </w14:solidFill>
          </w14:textFill>
        </w:rPr>
        <w:t>3000</w:t>
      </w:r>
      <w:r>
        <w:rPr>
          <w:rFonts w:hint="eastAsia"/>
          <w:color w:val="000000" w:themeColor="text1"/>
          <w:sz w:val="21"/>
          <w:szCs w:val="21"/>
          <w:u w:val="single"/>
          <w14:textFill>
            <w14:solidFill>
              <w14:schemeClr w14:val="tx1"/>
            </w14:solidFill>
          </w14:textFill>
        </w:rPr>
        <w:t>元</w:t>
      </w:r>
      <w:r>
        <w:rPr>
          <w:rFonts w:hint="eastAsia"/>
          <w:color w:val="000000" w:themeColor="text1"/>
          <w:sz w:val="21"/>
          <w:szCs w:val="21"/>
          <w:u w:val="single"/>
          <w:lang w:val="en-US" w:eastAsia="zh-CN"/>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的违约金。发包人在日常的项目巡查中，如发现承包人未履行相关手续，未严格按设计图纸、规范、施工方案施工等，除按期整改外，每次将收取人民币</w:t>
      </w:r>
      <w:r>
        <w:rPr>
          <w:rFonts w:hint="eastAsia"/>
          <w:color w:val="FF0000"/>
          <w:sz w:val="21"/>
          <w:szCs w:val="21"/>
          <w:u w:val="single"/>
        </w:rPr>
        <w:t xml:space="preserve"> 1 万元</w:t>
      </w:r>
      <w:r>
        <w:rPr>
          <w:rFonts w:hint="eastAsia"/>
          <w:color w:val="000000" w:themeColor="text1"/>
          <w:sz w:val="21"/>
          <w:szCs w:val="21"/>
          <w:u w:val="single"/>
          <w:lang w:val="en-US" w:eastAsia="zh-CN"/>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 xml:space="preserve">违约金；存在偷工减料的，除按期整改外，并收取相应工程量合同价 </w:t>
      </w:r>
      <w:r>
        <w:rPr>
          <w:rFonts w:hint="eastAsia"/>
          <w:color w:val="FF0000"/>
          <w:sz w:val="21"/>
          <w:szCs w:val="21"/>
          <w:u w:val="single"/>
        </w:rPr>
        <w:t>5 倍</w:t>
      </w:r>
      <w:r>
        <w:rPr>
          <w:rFonts w:hint="eastAsia"/>
          <w:color w:val="000000" w:themeColor="text1"/>
          <w:sz w:val="21"/>
          <w:szCs w:val="21"/>
          <w:u w:val="single"/>
          <w14:textFill>
            <w14:solidFill>
              <w14:schemeClr w14:val="tx1"/>
            </w14:solidFill>
          </w14:textFill>
        </w:rPr>
        <w:t>的违约金。</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16.2.2.6 劳动力、材料、设备投入计划不能按投标文件中的承诺到场的视为承包人违约一次，并向发包人支付违约金</w:t>
      </w:r>
      <w:r>
        <w:rPr>
          <w:rFonts w:hint="eastAsia"/>
          <w:color w:val="FF0000"/>
          <w:sz w:val="21"/>
          <w:szCs w:val="21"/>
          <w:u w:val="single"/>
          <w:lang w:val="en-US" w:eastAsia="zh-CN"/>
        </w:rPr>
        <w:t>1</w:t>
      </w:r>
      <w:r>
        <w:rPr>
          <w:rFonts w:hint="eastAsia"/>
          <w:color w:val="FF0000"/>
          <w:sz w:val="21"/>
          <w:szCs w:val="21"/>
          <w:u w:val="single"/>
        </w:rPr>
        <w:t>万元/次</w:t>
      </w:r>
      <w:r>
        <w:rPr>
          <w:rFonts w:hint="eastAsia"/>
          <w:color w:val="000000" w:themeColor="text1"/>
          <w:sz w:val="21"/>
          <w:szCs w:val="21"/>
          <w:u w:val="single"/>
          <w14:textFill>
            <w14:solidFill>
              <w14:schemeClr w14:val="tx1"/>
            </w14:solidFill>
          </w14:textFill>
        </w:rPr>
        <w:t>，并限期在 3 日内按照投标文件中的承诺到场，否则，视为再次违约，累计超过三次发包人有权解除合同。</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16.2.2.7承包人不服从发包人指令，发包人收取承包人人民币</w:t>
      </w:r>
      <w:r>
        <w:rPr>
          <w:rFonts w:hint="eastAsia"/>
          <w:color w:val="FF0000"/>
          <w:sz w:val="21"/>
          <w:szCs w:val="21"/>
          <w:u w:val="single"/>
          <w:lang w:val="en-US" w:eastAsia="zh-CN"/>
        </w:rPr>
        <w:t>1万元</w:t>
      </w:r>
      <w:r>
        <w:rPr>
          <w:rFonts w:hint="eastAsia"/>
          <w:color w:val="000000" w:themeColor="text1"/>
          <w:sz w:val="21"/>
          <w:szCs w:val="21"/>
          <w:u w:val="single"/>
          <w14:textFill>
            <w14:solidFill>
              <w14:schemeClr w14:val="tx1"/>
            </w14:solidFill>
          </w14:textFill>
        </w:rPr>
        <w:t xml:space="preserve">违约金，并有权解除合同 </w:t>
      </w:r>
      <w:r>
        <w:rPr>
          <w:rFonts w:hint="eastAsia"/>
          <w:color w:val="000000" w:themeColor="text1"/>
          <w:sz w:val="21"/>
          <w:szCs w:val="21"/>
          <w14:textFill>
            <w14:solidFill>
              <w14:schemeClr w14:val="tx1"/>
            </w14:solidFill>
          </w14:textFill>
        </w:rPr>
        <w:t xml:space="preserve">。    </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16.2.3 因承包人违约解除合同</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关于承包人违约解除合同的特别约定：</w:t>
      </w:r>
      <w:r>
        <w:rPr>
          <w:rFonts w:hint="eastAsia"/>
          <w:color w:val="000000" w:themeColor="text1"/>
          <w:sz w:val="21"/>
          <w:szCs w:val="21"/>
          <w:u w:val="single"/>
          <w14:textFill>
            <w14:solidFill>
              <w14:schemeClr w14:val="tx1"/>
            </w14:solidFill>
          </w14:textFill>
        </w:rPr>
        <w:t xml:space="preserve"> 发包人依据本合同约定解除合同的，仅支付已完成合格工程量 50%的价款，并且履约保证金不予退还。</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对于承包人已完成工程量及工程质量由双方协商指定第三方机构鉴定，协商不成的由发包方指定，双方应接受第三方机构鉴定的结果并不得提出异议，所需费用由承包人承担。</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 xml:space="preserve">承包人应按照发包人的要求提供施工资料等文件并不得以任何理由干涉阻挠新承包人的进场施工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发包人继续使用承包人在施工现场的材料、设备、临时工程、承包人文件和由承包人或以其名义编制的其他文件的费用承担方式：</w:t>
      </w:r>
      <w:r>
        <w:rPr>
          <w:rFonts w:hint="eastAsia"/>
          <w:color w:val="000000" w:themeColor="text1"/>
          <w:sz w:val="21"/>
          <w:szCs w:val="21"/>
          <w:u w:val="single"/>
          <w14:textFill>
            <w14:solidFill>
              <w14:schemeClr w14:val="tx1"/>
            </w14:solidFill>
          </w14:textFill>
        </w:rPr>
        <w:t xml:space="preserve"> （1）发包方继续使用承包人在施工现场的材料、设备的，按照承包人投标文件填报单价支付费用，但是不包括利润；（2）发包人继续使用承包人临时工程的，由发包人支付租金，租金价格由双方协商，不能协商一致的由监理人确定；（3）发包人继续使用承包人文件和由承包人或以其名义编制的其他文件的，不支付费用</w:t>
      </w:r>
      <w:r>
        <w:rPr>
          <w:rFonts w:hint="eastAsia"/>
          <w:color w:val="000000" w:themeColor="text1"/>
          <w:sz w:val="21"/>
          <w:szCs w:val="21"/>
          <w14:textFill>
            <w14:solidFill>
              <w14:schemeClr w14:val="tx1"/>
            </w14:solidFill>
          </w14:textFill>
        </w:rPr>
        <w:t>。</w:t>
      </w:r>
    </w:p>
    <w:p>
      <w:pPr>
        <w:adjustRightInd w:val="0"/>
        <w:snapToGrid w:val="0"/>
        <w:spacing w:line="560" w:lineRule="exact"/>
        <w:outlineLvl w:val="2"/>
        <w:rPr>
          <w:rFonts w:cs="楷体_GB2312"/>
          <w:b/>
          <w:bCs/>
          <w:color w:val="000000" w:themeColor="text1"/>
          <w:sz w:val="21"/>
          <w:szCs w:val="21"/>
          <w14:textFill>
            <w14:solidFill>
              <w14:schemeClr w14:val="tx1"/>
            </w14:solidFill>
          </w14:textFill>
        </w:rPr>
      </w:pPr>
      <w:r>
        <w:rPr>
          <w:rFonts w:hint="eastAsia" w:cs="楷体_GB2312"/>
          <w:b/>
          <w:bCs/>
          <w:color w:val="000000" w:themeColor="text1"/>
          <w:sz w:val="21"/>
          <w:szCs w:val="21"/>
          <w14:textFill>
            <w14:solidFill>
              <w14:schemeClr w14:val="tx1"/>
            </w14:solidFill>
          </w14:textFill>
        </w:rPr>
        <w:t xml:space="preserve">17. 不可抗力 </w:t>
      </w:r>
      <w:bookmarkEnd w:id="482"/>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17.1 不可抗力的确认</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 xml:space="preserve">除通用合同条款约定的不可抗力事件之外，视为不可抗力的其他情形： </w:t>
      </w:r>
      <w:r>
        <w:rPr>
          <w:rFonts w:hint="eastAsia"/>
          <w:color w:val="000000" w:themeColor="text1"/>
          <w:sz w:val="21"/>
          <w:szCs w:val="21"/>
          <w:u w:val="single"/>
          <w14:textFill>
            <w14:solidFill>
              <w14:schemeClr w14:val="tx1"/>
            </w14:solidFill>
          </w14:textFill>
        </w:rPr>
        <w:t xml:space="preserve">  执行通用合同条款 </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17.4因不可抗力解除合同</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合同解除后，发包人应在商定或确定发包人应支付款项后</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天内完成款项的支付。</w:t>
      </w:r>
    </w:p>
    <w:p>
      <w:pPr>
        <w:adjustRightInd w:val="0"/>
        <w:snapToGrid w:val="0"/>
        <w:spacing w:line="560" w:lineRule="exact"/>
        <w:outlineLvl w:val="2"/>
        <w:rPr>
          <w:rFonts w:cs="楷体_GB2312"/>
          <w:b/>
          <w:bCs/>
          <w:color w:val="000000" w:themeColor="text1"/>
          <w:sz w:val="21"/>
          <w:szCs w:val="21"/>
          <w14:textFill>
            <w14:solidFill>
              <w14:schemeClr w14:val="tx1"/>
            </w14:solidFill>
          </w14:textFill>
        </w:rPr>
      </w:pPr>
      <w:bookmarkStart w:id="484" w:name="_Toc351203650"/>
      <w:r>
        <w:rPr>
          <w:rFonts w:hint="eastAsia" w:cs="楷体_GB2312"/>
          <w:b/>
          <w:bCs/>
          <w:color w:val="000000" w:themeColor="text1"/>
          <w:sz w:val="21"/>
          <w:szCs w:val="21"/>
          <w14:textFill>
            <w14:solidFill>
              <w14:schemeClr w14:val="tx1"/>
            </w14:solidFill>
          </w14:textFill>
        </w:rPr>
        <w:t>18. 保险</w:t>
      </w:r>
      <w:bookmarkEnd w:id="484"/>
    </w:p>
    <w:bookmarkEnd w:id="483"/>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18.1 工程保险</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关于工程保险的特别约定：</w:t>
      </w:r>
      <w:r>
        <w:rPr>
          <w:rFonts w:hint="eastAsia"/>
          <w:color w:val="000000" w:themeColor="text1"/>
          <w:sz w:val="21"/>
          <w:szCs w:val="21"/>
          <w:u w:val="single"/>
          <w14:textFill>
            <w14:solidFill>
              <w14:schemeClr w14:val="tx1"/>
            </w14:solidFill>
          </w14:textFill>
        </w:rPr>
        <w:t xml:space="preserve">  承包人必须办理建筑安装工程一切险和建筑施工人员团体意外伤害险等国家法律法规规定（含法律或法规规定由发包人办理的）的保险，其费用包含在投标总报价中，发包人不再另行支付费用 </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18.3其他保险</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关于其他保险的约定：</w:t>
      </w:r>
      <w:r>
        <w:rPr>
          <w:rFonts w:hint="eastAsia"/>
          <w:color w:val="000000" w:themeColor="text1"/>
          <w:sz w:val="21"/>
          <w:szCs w:val="21"/>
          <w:u w:val="single"/>
          <w14:textFill>
            <w14:solidFill>
              <w14:schemeClr w14:val="tx1"/>
            </w14:solidFill>
          </w14:textFill>
        </w:rPr>
        <w:t xml:space="preserve">  执行通用合同条款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承包人是否应为其施工设备等办理财产保险：</w:t>
      </w:r>
      <w:r>
        <w:rPr>
          <w:rFonts w:hint="eastAsia"/>
          <w:color w:val="000000" w:themeColor="text1"/>
          <w:sz w:val="21"/>
          <w:szCs w:val="21"/>
          <w:u w:val="single"/>
          <w14:textFill>
            <w14:solidFill>
              <w14:schemeClr w14:val="tx1"/>
            </w14:solidFill>
          </w14:textFill>
        </w:rPr>
        <w:t xml:space="preserve"> 执行通用合同条款</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18.7通知义务</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关于变更保险合同时的通知义务的约定：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bookmarkEnd w:id="459"/>
    <w:bookmarkEnd w:id="460"/>
    <w:bookmarkEnd w:id="461"/>
    <w:bookmarkEnd w:id="462"/>
    <w:bookmarkEnd w:id="463"/>
    <w:bookmarkEnd w:id="464"/>
    <w:bookmarkEnd w:id="465"/>
    <w:bookmarkEnd w:id="466"/>
    <w:bookmarkEnd w:id="467"/>
    <w:bookmarkEnd w:id="468"/>
    <w:bookmarkEnd w:id="469"/>
    <w:bookmarkEnd w:id="470"/>
    <w:p>
      <w:pPr>
        <w:adjustRightInd w:val="0"/>
        <w:snapToGrid w:val="0"/>
        <w:spacing w:line="560" w:lineRule="exact"/>
        <w:outlineLvl w:val="2"/>
        <w:rPr>
          <w:rFonts w:cs="楷体_GB2312"/>
          <w:b/>
          <w:bCs/>
          <w:color w:val="000000" w:themeColor="text1"/>
          <w:sz w:val="21"/>
          <w:szCs w:val="21"/>
          <w14:textFill>
            <w14:solidFill>
              <w14:schemeClr w14:val="tx1"/>
            </w14:solidFill>
          </w14:textFill>
        </w:rPr>
      </w:pPr>
      <w:bookmarkStart w:id="485" w:name="_Toc351203651"/>
      <w:r>
        <w:rPr>
          <w:rFonts w:hint="eastAsia" w:cs="楷体_GB2312"/>
          <w:b/>
          <w:bCs/>
          <w:color w:val="000000" w:themeColor="text1"/>
          <w:sz w:val="21"/>
          <w:szCs w:val="21"/>
          <w14:textFill>
            <w14:solidFill>
              <w14:schemeClr w14:val="tx1"/>
            </w14:solidFill>
          </w14:textFill>
        </w:rPr>
        <w:t>20. 争议解决</w:t>
      </w:r>
      <w:bookmarkEnd w:id="485"/>
    </w:p>
    <w:bookmarkEnd w:id="471"/>
    <w:bookmarkEnd w:id="472"/>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20.3争</w:t>
      </w:r>
      <w:bookmarkEnd w:id="473"/>
      <w:r>
        <w:rPr>
          <w:rFonts w:hint="eastAsia" w:cs="仿宋_GB2312"/>
          <w:b/>
          <w:bCs/>
          <w:color w:val="000000" w:themeColor="text1"/>
          <w:sz w:val="21"/>
          <w:szCs w:val="21"/>
          <w14:textFill>
            <w14:solidFill>
              <w14:schemeClr w14:val="tx1"/>
            </w14:solidFill>
          </w14:textFill>
        </w:rPr>
        <w:t>议评审</w:t>
      </w:r>
    </w:p>
    <w:p>
      <w:pPr>
        <w:adjustRightInd w:val="0"/>
        <w:snapToGrid w:val="0"/>
        <w:spacing w:line="560" w:lineRule="exact"/>
        <w:ind w:left="156" w:leftChars="71" w:firstLine="315" w:firstLineChars="15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合同当事人是否同意将工程争议提交争议评审小组决定：</w:t>
      </w:r>
      <w:r>
        <w:rPr>
          <w:rFonts w:hint="eastAsia"/>
          <w:color w:val="000000" w:themeColor="text1"/>
          <w:sz w:val="21"/>
          <w:szCs w:val="21"/>
          <w:u w:val="single"/>
          <w14:textFill>
            <w14:solidFill>
              <w14:schemeClr w14:val="tx1"/>
            </w14:solidFill>
          </w14:textFill>
        </w:rPr>
        <w:t xml:space="preserve"> 执行通用合同条款</w:t>
      </w:r>
      <w:r>
        <w:rPr>
          <w:rFonts w:hint="eastAsia"/>
          <w:color w:val="000000" w:themeColor="text1"/>
          <w:sz w:val="21"/>
          <w:szCs w:val="21"/>
          <w14:textFill>
            <w14:solidFill>
              <w14:schemeClr w14:val="tx1"/>
            </w14:solidFill>
          </w14:textFill>
        </w:rPr>
        <w:t xml:space="preserve">。  </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20.3.1争议评审小组的确定</w:t>
      </w:r>
    </w:p>
    <w:p>
      <w:pPr>
        <w:adjustRightInd w:val="0"/>
        <w:snapToGrid w:val="0"/>
        <w:spacing w:line="560" w:lineRule="exact"/>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争议评审小组成员的确定：</w:t>
      </w:r>
      <w:r>
        <w:rPr>
          <w:rFonts w:hint="eastAsia"/>
          <w:color w:val="000000" w:themeColor="text1"/>
          <w:sz w:val="21"/>
          <w:szCs w:val="21"/>
          <w:u w:val="single"/>
          <w14:textFill>
            <w14:solidFill>
              <w14:schemeClr w14:val="tx1"/>
            </w14:solidFill>
          </w14:textFill>
        </w:rPr>
        <w:t xml:space="preserve">  执行通用合同条款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选定争议评审员的期限：</w:t>
      </w:r>
      <w:r>
        <w:rPr>
          <w:rFonts w:hint="eastAsia"/>
          <w:color w:val="000000" w:themeColor="text1"/>
          <w:sz w:val="21"/>
          <w:szCs w:val="21"/>
          <w:u w:val="single"/>
          <w14:textFill>
            <w14:solidFill>
              <w14:schemeClr w14:val="tx1"/>
            </w14:solidFill>
          </w14:textFill>
        </w:rPr>
        <w:t xml:space="preserve">    执行通用合同条款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争议评审小组成员的报酬承担方式：</w:t>
      </w:r>
      <w:r>
        <w:rPr>
          <w:rFonts w:hint="eastAsia"/>
          <w:color w:val="000000" w:themeColor="text1"/>
          <w:sz w:val="21"/>
          <w:szCs w:val="21"/>
          <w:u w:val="single"/>
          <w14:textFill>
            <w14:solidFill>
              <w14:schemeClr w14:val="tx1"/>
            </w14:solidFill>
          </w14:textFill>
        </w:rPr>
        <w:t xml:space="preserve">  由承包人承担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其他事项的约定：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20.3.2争议评审小组的决定</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合同当事人关于本项的约定：</w:t>
      </w:r>
      <w:r>
        <w:rPr>
          <w:rFonts w:hint="eastAsia"/>
          <w:color w:val="000000" w:themeColor="text1"/>
          <w:sz w:val="21"/>
          <w:szCs w:val="21"/>
          <w:u w:val="single"/>
          <w14:textFill>
            <w14:solidFill>
              <w14:schemeClr w14:val="tx1"/>
            </w14:solidFill>
          </w14:textFill>
        </w:rPr>
        <w:t xml:space="preserve"> 执行通用合同条款</w:t>
      </w:r>
      <w:r>
        <w:rPr>
          <w:rFonts w:hint="eastAsia"/>
          <w:color w:val="000000" w:themeColor="text1"/>
          <w:sz w:val="21"/>
          <w:szCs w:val="21"/>
          <w14:textFill>
            <w14:solidFill>
              <w14:schemeClr w14:val="tx1"/>
            </w14:solidFill>
          </w14:textFill>
        </w:rPr>
        <w:t>。</w:t>
      </w:r>
    </w:p>
    <w:p>
      <w:pPr>
        <w:adjustRightInd w:val="0"/>
        <w:snapToGrid w:val="0"/>
        <w:spacing w:line="560" w:lineRule="exact"/>
        <w:rPr>
          <w:rFonts w:cs="仿宋_GB2312"/>
          <w:b/>
          <w:bCs/>
          <w:color w:val="000000" w:themeColor="text1"/>
          <w:sz w:val="21"/>
          <w:szCs w:val="21"/>
          <w14:textFill>
            <w14:solidFill>
              <w14:schemeClr w14:val="tx1"/>
            </w14:solidFill>
          </w14:textFill>
        </w:rPr>
      </w:pPr>
      <w:r>
        <w:rPr>
          <w:rFonts w:hint="eastAsia" w:cs="仿宋_GB2312"/>
          <w:b/>
          <w:bCs/>
          <w:color w:val="000000" w:themeColor="text1"/>
          <w:sz w:val="21"/>
          <w:szCs w:val="21"/>
          <w14:textFill>
            <w14:solidFill>
              <w14:schemeClr w14:val="tx1"/>
            </w14:solidFill>
          </w14:textFill>
        </w:rPr>
        <w:t>20.4仲裁或诉讼</w:t>
      </w:r>
      <w:bookmarkEnd w:id="474"/>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因合同及合同有关事项发生的争议，按下列第</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2</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种方式解决：</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（1）向</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阜阳</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仲裁委员会申请仲裁；</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（2）向</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工程所在地</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人民法院起诉。</w:t>
      </w:r>
      <w:bookmarkEnd w:id="475"/>
      <w:bookmarkEnd w:id="476"/>
      <w:bookmarkEnd w:id="477"/>
      <w:bookmarkEnd w:id="478"/>
      <w:bookmarkEnd w:id="479"/>
      <w:bookmarkEnd w:id="480"/>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w:t>
      </w:r>
      <w:r>
        <w:rPr>
          <w:rFonts w:hint="eastAsia"/>
          <w:color w:val="000000" w:themeColor="text1"/>
          <w:sz w:val="21"/>
          <w:szCs w:val="21"/>
          <w:lang w:val="en-US"/>
          <w14:textFill>
            <w14:solidFill>
              <w14:schemeClr w14:val="tx1"/>
            </w14:solidFill>
          </w14:textFill>
        </w:rPr>
        <w:t>21</w:t>
      </w:r>
      <w:r>
        <w:rPr>
          <w:rFonts w:hint="eastAsia"/>
          <w:color w:val="000000" w:themeColor="text1"/>
          <w:sz w:val="21"/>
          <w:szCs w:val="21"/>
          <w14:textFill>
            <w14:solidFill>
              <w14:schemeClr w14:val="tx1"/>
            </w14:solidFill>
          </w14:textFill>
        </w:rPr>
        <w:t>其他</w:t>
      </w:r>
    </w:p>
    <w:p>
      <w:pPr>
        <w:adjustRightInd w:val="0"/>
        <w:snapToGrid w:val="0"/>
        <w:spacing w:line="56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21.1 关于廉政纪律的约定条款：</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承包人采取贿赂等手段骗取中标，谋取非法利益，经举报查实，中标无效，并上报主管部门依法予以处理。</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承包人公司法人、项目负责人、工程参与人员在工程施工过程中不得以任何形式向发包人人员赠送礼品、礼券、现金，承包人存在上述行为经查实的，承包人须支付给发包人 10 万元/次违约金，并通报批评，对直接行为人清理出场，且发包人有权据此解除合同，存在违法行为的移交司法机关依法处理，承包人承担由此引起的一切损失。</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发包人人员在工程管理过程中不准接受宴请，不准接受贿赂、徇私偏袒，不准在服务单位兼职，不准对受管理的的工程进行有偿咨询服务，不准利用工作之便介绍工程承包任务和推销建筑材料，承包人发现发包人人员有此类行为应向发包人纪检监察部门或建设主管部门报告，报告属实的发包人将对相关人员严肃处理，对知情不报者将清理出项目现场。</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 xml:space="preserve">21.2发包人有权因政策因素、拆迁因素等调整范围，对于后期因遇特殊情况导致无法施工，承包人应该提前勘察现场（自行勘察），充分考虑其中风险，自行承担由于范围及其他原因导致的工期增加造成的损失。 </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 xml:space="preserve">21.3 承包人应到工地踏勘以充分了解工地的位置、情况、道路、地上设施、地下管线及其他足以影响承包的情况，因忽视或误解工地情况而导致的索赔或工期延长申请将不被批准，投标人应根据现场情况和设计文件综合考虑投标报价。但经过争议评审小组认定构成不利物质条件的除外。 </w:t>
      </w:r>
    </w:p>
    <w:p>
      <w:pPr>
        <w:adjustRightInd w:val="0"/>
        <w:snapToGrid w:val="0"/>
        <w:spacing w:line="560" w:lineRule="exact"/>
        <w:ind w:firstLine="420" w:firstLineChars="200"/>
        <w:rPr>
          <w:color w:val="FF0000"/>
          <w:sz w:val="21"/>
          <w:szCs w:val="21"/>
          <w:lang w:val="en-US"/>
        </w:rPr>
      </w:pPr>
      <w:r>
        <w:rPr>
          <w:rFonts w:hint="eastAsia"/>
          <w:color w:val="FF0000"/>
          <w:sz w:val="21"/>
          <w:szCs w:val="21"/>
          <w:lang w:val="en-US"/>
        </w:rPr>
        <w:t xml:space="preserve">21.4对于需二次深化设计的工程，承包人需将深化设计方案报经发包人批准后方可实施， 且合同价格只减不增。 如承包人深化设计方案未报经发包人批准后即自行实施， 发包人有权要求承包人对已实施工程返工或拆除。如承包人未按要求深化施工，发包人有权直接另行安排其他单位进行深化设计或施工，所需费用由承包人无条件承担，同时承包人需支付所需费用10%的违约金， 并要求承包人赔偿发包人一切损失。 </w:t>
      </w:r>
    </w:p>
    <w:p>
      <w:pPr>
        <w:adjustRightInd w:val="0"/>
        <w:snapToGrid w:val="0"/>
        <w:spacing w:line="560" w:lineRule="exact"/>
        <w:ind w:firstLine="420" w:firstLineChars="200"/>
        <w:rPr>
          <w:color w:val="FF0000"/>
          <w:sz w:val="21"/>
          <w:szCs w:val="21"/>
          <w:lang w:val="en-US"/>
        </w:rPr>
      </w:pPr>
      <w:r>
        <w:rPr>
          <w:rFonts w:hint="eastAsia"/>
          <w:color w:val="FF0000"/>
          <w:sz w:val="21"/>
          <w:szCs w:val="21"/>
          <w:lang w:val="en-US"/>
        </w:rPr>
        <w:t xml:space="preserve">承包人可在工程实施过程中， 对设计文件进行优化提出合理化建议，但合理化建议必须报经发包人批准后方可实施。 </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FF0000"/>
          <w:sz w:val="21"/>
          <w:szCs w:val="21"/>
          <w:lang w:val="en-US"/>
        </w:rPr>
        <w:t>21.5工程量清单编制作为控制价编制依据，如工程量清单与施工图纸不一致或工程量清单描述不清的，以最优施工方案为准；工程量清单中未列的项目及数量有差异的项目，由承包人在投标报价中自行考虑费用，视为承包人已列入报价。</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 xml:space="preserve">21.6发包人不保证最低工程量，风险由承包人自行考虑。在工程实施过程中引起的工程量增加或减少造成的费用问题，按照合同条款中相关规定执行，且承包人须按照发包人要求进行实施。但承包人不得对因此造成的机械闲置、窝工浪费等情况进行索赔。 </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 xml:space="preserve">在承包人负责照管与维护期间，如果本工程发生损失或损害，承包人均应自费弥补，并达到合同要求。 </w:t>
      </w:r>
    </w:p>
    <w:p>
      <w:pPr>
        <w:adjustRightInd w:val="0"/>
        <w:snapToGrid w:val="0"/>
        <w:spacing w:line="560" w:lineRule="exact"/>
        <w:ind w:firstLine="420" w:firstLineChars="200"/>
        <w:rPr>
          <w:color w:val="FF0000"/>
          <w:sz w:val="21"/>
          <w:szCs w:val="21"/>
          <w:lang w:val="en-US"/>
        </w:rPr>
      </w:pPr>
      <w:r>
        <w:rPr>
          <w:rFonts w:hint="eastAsia"/>
          <w:color w:val="FF0000"/>
          <w:sz w:val="21"/>
          <w:szCs w:val="21"/>
          <w:lang w:val="en-US"/>
        </w:rPr>
        <w:t xml:space="preserve">21.7发包人在工程施工期间会不定期对工程质量、安全文明施工、进度、资料等方面进行检查，每不合格一次，承包人按照 </w:t>
      </w:r>
      <w:r>
        <w:rPr>
          <w:rFonts w:hint="eastAsia"/>
          <w:color w:val="FF0000"/>
          <w:sz w:val="21"/>
          <w:szCs w:val="21"/>
          <w:lang w:val="en-US" w:eastAsia="zh-CN"/>
        </w:rPr>
        <w:t>5000</w:t>
      </w:r>
      <w:r>
        <w:rPr>
          <w:rFonts w:hint="eastAsia"/>
          <w:color w:val="FF0000"/>
          <w:sz w:val="21"/>
          <w:szCs w:val="21"/>
          <w:lang w:val="en-US"/>
        </w:rPr>
        <w:t xml:space="preserve">元/次向发包人支付违约金，发包人亦会在工程期间根据工程进度、工程质量、安全文明施工、资料管理等方面随时对承包人口头或者书面发出一些工作指令，承包人拒不完成或完成不及时、不达标、承包人按照 </w:t>
      </w:r>
      <w:r>
        <w:rPr>
          <w:rFonts w:hint="eastAsia"/>
          <w:color w:val="FF0000"/>
          <w:sz w:val="21"/>
          <w:szCs w:val="21"/>
          <w:lang w:val="en-US" w:eastAsia="zh-CN"/>
        </w:rPr>
        <w:t>1</w:t>
      </w:r>
      <w:r>
        <w:rPr>
          <w:rFonts w:hint="eastAsia"/>
          <w:color w:val="FF0000"/>
          <w:sz w:val="21"/>
          <w:szCs w:val="21"/>
          <w:lang w:val="en-US"/>
        </w:rPr>
        <w:t xml:space="preserve"> 万元/次向发包人支付违约金，直至解除合同。 </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21.8 （1）施工过程中及工程完工后的垃圾清运费现场清理费包含在签约合同价中。地表以上所有建筑垃圾、生活垃圾等一切不利因素，均由承包人拆除清运，确保正常施工，承包人自行勘察现场，综合考虑各种风险，结算时不予调整。</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（2）地表以下建筑物基础、构筑物及基础、道路及树根等原有障碍物拆除及外运、生活垃圾及淤泥、沟塘换填（含暗塘）的清出及外运、树穴及墓穴处理等，已包含在合同价款中，结算时不予调整。</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21.</w:t>
      </w:r>
      <w:r>
        <w:rPr>
          <w:rFonts w:hint="eastAsia"/>
          <w:color w:val="000000" w:themeColor="text1"/>
          <w:sz w:val="21"/>
          <w:szCs w:val="21"/>
          <w:lang w:val="en-US" w:eastAsia="zh-CN"/>
          <w14:textFill>
            <w14:solidFill>
              <w14:schemeClr w14:val="tx1"/>
            </w14:solidFill>
          </w14:textFill>
        </w:rPr>
        <w:t>9</w:t>
      </w:r>
      <w:r>
        <w:rPr>
          <w:rFonts w:hint="eastAsia"/>
          <w:color w:val="000000" w:themeColor="text1"/>
          <w:sz w:val="21"/>
          <w:szCs w:val="21"/>
          <w:lang w:val="en-US"/>
          <w14:textFill>
            <w14:solidFill>
              <w14:schemeClr w14:val="tx1"/>
            </w14:solidFill>
          </w14:textFill>
        </w:rPr>
        <w:t xml:space="preserve">如有外弃土或外购土（包括建筑垃圾、淤泥外运等）发包人不提供弃土点和取土点，承包人对弃土点和取土点的选取需经发包人同意，弃土不得擅自堆放，否则按照每次1万元收取承包人违约金。 </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21.1</w:t>
      </w:r>
      <w:r>
        <w:rPr>
          <w:rFonts w:hint="eastAsia"/>
          <w:color w:val="000000" w:themeColor="text1"/>
          <w:sz w:val="21"/>
          <w:szCs w:val="21"/>
          <w:lang w:val="en-US" w:eastAsia="zh-CN"/>
          <w14:textFill>
            <w14:solidFill>
              <w14:schemeClr w14:val="tx1"/>
            </w14:solidFill>
          </w14:textFill>
        </w:rPr>
        <w:t>0</w:t>
      </w:r>
      <w:r>
        <w:rPr>
          <w:rFonts w:hint="eastAsia"/>
          <w:color w:val="000000" w:themeColor="text1"/>
          <w:sz w:val="21"/>
          <w:szCs w:val="21"/>
          <w:lang w:val="en-US"/>
          <w14:textFill>
            <w14:solidFill>
              <w14:schemeClr w14:val="tx1"/>
            </w14:solidFill>
          </w14:textFill>
        </w:rPr>
        <w:t xml:space="preserve"> 本项目在施工过程中如涉及破除已建成道路、绿化，相关破除、恢复等费用承包人已经综合考虑在合同价中，后期不予调整。</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21.1</w:t>
      </w: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lang w:val="en-US"/>
          <w14:textFill>
            <w14:solidFill>
              <w14:schemeClr w14:val="tx1"/>
            </w14:solidFill>
          </w14:textFill>
        </w:rPr>
        <w:t>开工前，承包人应对施工图纸认真核查，积极配合发包人组织的图纸会审和技术交底，指出图纸上任何不符施工常规、惯例或规范之处以及图纸中错、漏问题，并做好各系统综合平衡工作，若因承包人未能在施工该道工序前协调、解决好此类矛盾、问题而造成工程费用增加和工期损失，承包人承担相应责任。</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21.1</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lang w:val="en-US"/>
          <w14:textFill>
            <w14:solidFill>
              <w14:schemeClr w14:val="tx1"/>
            </w14:solidFill>
          </w14:textFill>
        </w:rPr>
        <w:t>本项目施工时，承包人应自行处理和周边其他项目的协调配合工作，确保在工期范围内完成。</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21.1</w:t>
      </w:r>
      <w:r>
        <w:rPr>
          <w:rFonts w:hint="eastAsia"/>
          <w:color w:val="000000" w:themeColor="text1"/>
          <w:sz w:val="21"/>
          <w:szCs w:val="21"/>
          <w:lang w:val="en-US" w:eastAsia="zh-CN"/>
          <w14:textFill>
            <w14:solidFill>
              <w14:schemeClr w14:val="tx1"/>
            </w14:solidFill>
          </w14:textFill>
        </w:rPr>
        <w:t>3</w:t>
      </w:r>
      <w:r>
        <w:rPr>
          <w:rFonts w:hint="eastAsia"/>
          <w:color w:val="000000" w:themeColor="text1"/>
          <w:sz w:val="21"/>
          <w:szCs w:val="21"/>
          <w:lang w:val="en-US"/>
          <w14:textFill>
            <w14:solidFill>
              <w14:schemeClr w14:val="tx1"/>
            </w14:solidFill>
          </w14:textFill>
        </w:rPr>
        <w:t>承包人进场施工后到工程缺陷责任期结束，发包人有权委托有资质的检测单位在任何时间对工程进行检测，承包人必须认可发包人委托检测单位所出具的检测结果，并接受发包人根据检测结果所发出的任何处理决定，否则视为承包人违约，所造成的损失由承包人自行承担。</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21.1</w:t>
      </w: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lang w:val="en-US"/>
          <w14:textFill>
            <w14:solidFill>
              <w14:schemeClr w14:val="tx1"/>
            </w14:solidFill>
          </w14:textFill>
        </w:rPr>
        <w:t>工程验收及检测执行国家及地方最新相关规定，费用由承包人承担，本项不单独在清单中列出，请承包人综合考虑在合同价中，后期不予调整。</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21.</w:t>
      </w:r>
      <w:r>
        <w:rPr>
          <w:rFonts w:hint="eastAsia"/>
          <w:color w:val="000000" w:themeColor="text1"/>
          <w:sz w:val="21"/>
          <w:szCs w:val="21"/>
          <w:lang w:val="en-US" w:eastAsia="zh-CN"/>
          <w14:textFill>
            <w14:solidFill>
              <w14:schemeClr w14:val="tx1"/>
            </w14:solidFill>
          </w14:textFill>
        </w:rPr>
        <w:t>15</w:t>
      </w:r>
      <w:r>
        <w:rPr>
          <w:rFonts w:hint="eastAsia"/>
          <w:color w:val="000000" w:themeColor="text1"/>
          <w:sz w:val="21"/>
          <w:szCs w:val="21"/>
          <w:lang w:val="en-US"/>
          <w14:textFill>
            <w14:solidFill>
              <w14:schemeClr w14:val="tx1"/>
            </w14:solidFill>
          </w14:textFill>
        </w:rPr>
        <w:t>承包人投标报价以及合同价款包含工程质量检测费及其他必要检测业务费用，检测内容包括但不限于涉及本工程项目按照有关验收规范及各级行政主管部门的要求，并满足建设单位进行工程备案或移交等所需的检测、监理、实验内容（比如环保检测、基坑变形、沉降监测、各种设备和材料等其他检测内容）。检测单位由发包人选定，发包人与检测单位签订书面检测合同，检测费用按招标文件以及发包人与检测机构签订的书面合同约定方式计取，检测费用由承包人承担。检测费用支付方式为发包人先行向检测机构支付，发包人支付后再由发包人从应付承包人最近一期工程款中相应扣除。承包人从发包人实际收到的工程价款为合同价款扣除检测费用的数额，承包人向发包人出具的工程款发票数额也即为合同价款减去检测费用的数额。 所有试验、检测、专项检测费用均由承包人综合考虑在合同价中，后期不予调整。</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21.</w:t>
      </w:r>
      <w:r>
        <w:rPr>
          <w:rFonts w:hint="eastAsia"/>
          <w:color w:val="000000" w:themeColor="text1"/>
          <w:sz w:val="21"/>
          <w:szCs w:val="21"/>
          <w:lang w:val="en-US" w:eastAsia="zh-CN"/>
          <w14:textFill>
            <w14:solidFill>
              <w14:schemeClr w14:val="tx1"/>
            </w14:solidFill>
          </w14:textFill>
        </w:rPr>
        <w:t>16</w:t>
      </w:r>
      <w:r>
        <w:rPr>
          <w:rFonts w:hint="eastAsia"/>
          <w:color w:val="000000" w:themeColor="text1"/>
          <w:sz w:val="21"/>
          <w:szCs w:val="21"/>
          <w:lang w:val="en-US"/>
          <w14:textFill>
            <w14:solidFill>
              <w14:schemeClr w14:val="tx1"/>
            </w14:solidFill>
          </w14:textFill>
        </w:rPr>
        <w:t>涉及本项目工程质量检测及其他必要检测业务由发包人委托具有相应资质的检测机构进行检测，涉及费用由承包人承担，检测费用以发包人商谈价格为准。检测内容包括但不限于环保检测费、噪声、排污费、基础检测费、各种设备和材料等其他所有专项检测，所有试验、检测、专项检测费用均由承包人综合考虑在合同价中，后期不予调整。</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21.</w:t>
      </w:r>
      <w:r>
        <w:rPr>
          <w:rFonts w:hint="eastAsia"/>
          <w:color w:val="000000" w:themeColor="text1"/>
          <w:sz w:val="21"/>
          <w:szCs w:val="21"/>
          <w:lang w:val="en-US" w:eastAsia="zh-CN"/>
          <w14:textFill>
            <w14:solidFill>
              <w14:schemeClr w14:val="tx1"/>
            </w14:solidFill>
          </w14:textFill>
        </w:rPr>
        <w:t>17</w:t>
      </w:r>
      <w:r>
        <w:rPr>
          <w:rFonts w:hint="eastAsia"/>
          <w:color w:val="000000" w:themeColor="text1"/>
          <w:sz w:val="21"/>
          <w:szCs w:val="21"/>
          <w:lang w:val="en-US"/>
          <w14:textFill>
            <w14:solidFill>
              <w14:schemeClr w14:val="tx1"/>
            </w14:solidFill>
          </w14:textFill>
        </w:rPr>
        <w:t>承包人自行采购的材料应满足设计和规范要求的质量等级，并须按有关技术规范要求对材料质量进行检验。承包人选定的材料供应厂家须经发包人和监理单位认可。如发包人和监理单位对某种或某些材料的质量有异议，可以要求停止使用，承包人必须无条件服从。若该材料经检验部门鉴定确有质量问题， 承包人须做返工处理，由此而发生的一切费用由承包人自行承担。</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21.</w:t>
      </w:r>
      <w:r>
        <w:rPr>
          <w:rFonts w:hint="eastAsia"/>
          <w:color w:val="000000" w:themeColor="text1"/>
          <w:sz w:val="21"/>
          <w:szCs w:val="21"/>
          <w:lang w:val="en-US" w:eastAsia="zh-CN"/>
          <w14:textFill>
            <w14:solidFill>
              <w14:schemeClr w14:val="tx1"/>
            </w14:solidFill>
          </w14:textFill>
        </w:rPr>
        <w:t>18</w:t>
      </w:r>
      <w:r>
        <w:rPr>
          <w:rFonts w:hint="eastAsia"/>
          <w:color w:val="000000" w:themeColor="text1"/>
          <w:sz w:val="21"/>
          <w:szCs w:val="21"/>
          <w:lang w:val="en-US"/>
          <w14:textFill>
            <w14:solidFill>
              <w14:schemeClr w14:val="tx1"/>
            </w14:solidFill>
          </w14:textFill>
        </w:rPr>
        <w:t>因承包人自行采购的材料质量引起的工程质量问题由承包人承担所造成的一切损失。</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21.</w:t>
      </w:r>
      <w:r>
        <w:rPr>
          <w:rFonts w:hint="eastAsia"/>
          <w:color w:val="000000" w:themeColor="text1"/>
          <w:sz w:val="21"/>
          <w:szCs w:val="21"/>
          <w:lang w:val="en-US" w:eastAsia="zh-CN"/>
          <w14:textFill>
            <w14:solidFill>
              <w14:schemeClr w14:val="tx1"/>
            </w14:solidFill>
          </w14:textFill>
        </w:rPr>
        <w:t>19</w:t>
      </w:r>
      <w:r>
        <w:rPr>
          <w:rFonts w:hint="eastAsia"/>
          <w:color w:val="000000" w:themeColor="text1"/>
          <w:sz w:val="21"/>
          <w:szCs w:val="21"/>
          <w:lang w:val="en-US"/>
          <w14:textFill>
            <w14:solidFill>
              <w14:schemeClr w14:val="tx1"/>
            </w14:solidFill>
          </w14:textFill>
        </w:rPr>
        <w:t>承包人中标后在项目进场前上报拟采用品牌，拟采用品牌与参考品牌不一致的，由发包人组织专家论证，专家论证可从厂家实力、年销量、工程业绩、产品奖项等方面进行论证，论证费用已包含在签约合同价款中。若承包人拟采用品牌经专家论证不符合要求的，承包人须从参考品牌中选取任意一个，拒不配合的发包人有权解除合同，并按照承包人违约相关规定处理。</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21.</w:t>
      </w:r>
      <w:r>
        <w:rPr>
          <w:rFonts w:hint="eastAsia"/>
          <w:color w:val="000000" w:themeColor="text1"/>
          <w:sz w:val="21"/>
          <w:szCs w:val="21"/>
          <w:lang w:val="en-US" w:eastAsia="zh-CN"/>
          <w14:textFill>
            <w14:solidFill>
              <w14:schemeClr w14:val="tx1"/>
            </w14:solidFill>
          </w14:textFill>
        </w:rPr>
        <w:t>20</w:t>
      </w:r>
      <w:r>
        <w:rPr>
          <w:rFonts w:hint="eastAsia"/>
          <w:color w:val="000000" w:themeColor="text1"/>
          <w:sz w:val="21"/>
          <w:szCs w:val="21"/>
          <w:lang w:val="en-US"/>
          <w14:textFill>
            <w14:solidFill>
              <w14:schemeClr w14:val="tx1"/>
            </w14:solidFill>
          </w14:textFill>
        </w:rPr>
        <w:t>承包人的其他义务</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21.</w:t>
      </w:r>
      <w:r>
        <w:rPr>
          <w:rFonts w:hint="eastAsia"/>
          <w:color w:val="000000" w:themeColor="text1"/>
          <w:sz w:val="21"/>
          <w:szCs w:val="21"/>
          <w:lang w:val="en-US" w:eastAsia="zh-CN"/>
          <w14:textFill>
            <w14:solidFill>
              <w14:schemeClr w14:val="tx1"/>
            </w14:solidFill>
          </w14:textFill>
        </w:rPr>
        <w:t>20</w:t>
      </w:r>
      <w:r>
        <w:rPr>
          <w:rFonts w:hint="eastAsia"/>
          <w:color w:val="000000" w:themeColor="text1"/>
          <w:sz w:val="21"/>
          <w:szCs w:val="21"/>
          <w:lang w:val="en-US"/>
          <w14:textFill>
            <w14:solidFill>
              <w14:schemeClr w14:val="tx1"/>
            </w14:solidFill>
          </w14:textFill>
        </w:rPr>
        <w:t xml:space="preserve">.1开工前做好施工现场道路的硬化处理，确保不出现卷泥上路，施工现场围墙符合 JGJ59—2011 标准及有关部门对文明施工的要求。 </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21.2</w:t>
      </w:r>
      <w:r>
        <w:rPr>
          <w:rFonts w:hint="eastAsia"/>
          <w:color w:val="000000" w:themeColor="text1"/>
          <w:sz w:val="21"/>
          <w:szCs w:val="21"/>
          <w:lang w:val="en-US" w:eastAsia="zh-CN"/>
          <w14:textFill>
            <w14:solidFill>
              <w14:schemeClr w14:val="tx1"/>
            </w14:solidFill>
          </w14:textFill>
        </w:rPr>
        <w:t>0</w:t>
      </w:r>
      <w:r>
        <w:rPr>
          <w:rFonts w:hint="eastAsia"/>
          <w:color w:val="000000" w:themeColor="text1"/>
          <w:sz w:val="21"/>
          <w:szCs w:val="21"/>
          <w:lang w:val="en-US"/>
          <w14:textFill>
            <w14:solidFill>
              <w14:schemeClr w14:val="tx1"/>
            </w14:solidFill>
          </w14:textFill>
        </w:rPr>
        <w:t xml:space="preserve">.2承担施工安全保卫工作及施工照明的责任和要求：由承包人负责并承担相关费用。 </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21.2</w:t>
      </w:r>
      <w:r>
        <w:rPr>
          <w:rFonts w:hint="eastAsia"/>
          <w:color w:val="000000" w:themeColor="text1"/>
          <w:sz w:val="21"/>
          <w:szCs w:val="21"/>
          <w:lang w:val="en-US" w:eastAsia="zh-CN"/>
          <w14:textFill>
            <w14:solidFill>
              <w14:schemeClr w14:val="tx1"/>
            </w14:solidFill>
          </w14:textFill>
        </w:rPr>
        <w:t>0</w:t>
      </w:r>
      <w:r>
        <w:rPr>
          <w:rFonts w:hint="eastAsia"/>
          <w:color w:val="000000" w:themeColor="text1"/>
          <w:sz w:val="21"/>
          <w:szCs w:val="21"/>
          <w:lang w:val="en-US"/>
          <w14:textFill>
            <w14:solidFill>
              <w14:schemeClr w14:val="tx1"/>
            </w14:solidFill>
          </w14:textFill>
        </w:rPr>
        <w:t xml:space="preserve">.3已完工程成品保护的特殊要求及费用承担：已竣工工程未交付发包人之前所发生的保护工作由承包人负责并承担相关费用。发包人要求承包人采取特殊措施保护的工程部位所发生的相关费用由承包人承担。 </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21.2</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lang w:val="en-US"/>
          <w14:textFill>
            <w14:solidFill>
              <w14:schemeClr w14:val="tx1"/>
            </w14:solidFill>
          </w14:textFill>
        </w:rPr>
        <w:t xml:space="preserve">.5施工场地清洁卫生的要求：符合阜阳市对施工场地文明施工和清洁卫生的有关规定。  </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21.2</w:t>
      </w:r>
      <w:r>
        <w:rPr>
          <w:rFonts w:hint="eastAsia"/>
          <w:color w:val="000000" w:themeColor="text1"/>
          <w:sz w:val="21"/>
          <w:szCs w:val="21"/>
          <w:lang w:val="en-US" w:eastAsia="zh-CN"/>
          <w14:textFill>
            <w14:solidFill>
              <w14:schemeClr w14:val="tx1"/>
            </w14:solidFill>
          </w14:textFill>
        </w:rPr>
        <w:t>0</w:t>
      </w:r>
      <w:r>
        <w:rPr>
          <w:rFonts w:hint="eastAsia"/>
          <w:color w:val="000000" w:themeColor="text1"/>
          <w:sz w:val="21"/>
          <w:szCs w:val="21"/>
          <w:lang w:val="en-US"/>
          <w14:textFill>
            <w14:solidFill>
              <w14:schemeClr w14:val="tx1"/>
            </w14:solidFill>
          </w14:textFill>
        </w:rPr>
        <w:t>.6施工中应严格按照施工图纸和发包人的要求施工，若发现承包人未按图纸和发包人要求施工，每次收取违约金</w:t>
      </w:r>
      <w:r>
        <w:rPr>
          <w:rFonts w:hint="eastAsia"/>
          <w:color w:val="FF0000"/>
          <w:sz w:val="21"/>
          <w:szCs w:val="21"/>
          <w:lang w:val="en-US"/>
        </w:rPr>
        <w:t>5万元</w:t>
      </w:r>
      <w:r>
        <w:rPr>
          <w:rFonts w:hint="eastAsia"/>
          <w:color w:val="000000" w:themeColor="text1"/>
          <w:sz w:val="21"/>
          <w:szCs w:val="21"/>
          <w:lang w:val="en-US"/>
          <w14:textFill>
            <w14:solidFill>
              <w14:schemeClr w14:val="tx1"/>
            </w14:solidFill>
          </w14:textFill>
        </w:rPr>
        <w:t>，对连续违反三次且不听劝阻者，发包人有权解除合同，清除出场，一切损失由承包人承担。</w:t>
      </w:r>
    </w:p>
    <w:p>
      <w:pPr>
        <w:adjustRightInd w:val="0"/>
        <w:snapToGrid w:val="0"/>
        <w:spacing w:line="560" w:lineRule="exact"/>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21.</w:t>
      </w:r>
      <w:r>
        <w:rPr>
          <w:rFonts w:hint="eastAsia"/>
          <w:color w:val="000000" w:themeColor="text1"/>
          <w:sz w:val="21"/>
          <w:szCs w:val="21"/>
          <w:lang w:val="en-US" w:eastAsia="zh-CN"/>
          <w14:textFill>
            <w14:solidFill>
              <w14:schemeClr w14:val="tx1"/>
            </w14:solidFill>
          </w14:textFill>
        </w:rPr>
        <w:t>21</w:t>
      </w:r>
      <w:r>
        <w:rPr>
          <w:rFonts w:hint="eastAsia"/>
          <w:color w:val="000000" w:themeColor="text1"/>
          <w:sz w:val="21"/>
          <w:szCs w:val="21"/>
          <w:lang w:val="en-US"/>
          <w14:textFill>
            <w14:solidFill>
              <w14:schemeClr w14:val="tx1"/>
            </w14:solidFill>
          </w14:textFill>
        </w:rPr>
        <w:t>本工程设备施工时应符合国家规定、地方标准及接收部门的要求，施工中应随时了解并按其最新要求施工，并保证顺利移交。投标人在报价时应综合考虑，后期调整不予增加费用。（如有）</w:t>
      </w:r>
    </w:p>
    <w:p>
      <w:pPr>
        <w:spacing w:line="360" w:lineRule="auto"/>
        <w:ind w:firstLine="632" w:firstLineChars="300"/>
        <w:rPr>
          <w:rFonts w:hint="eastAsia" w:ascii="Times New Roman" w:hAnsi="Times New Roman" w:cs="Times New Roman"/>
          <w:b/>
          <w:bCs/>
          <w:color w:val="000000" w:themeColor="text1"/>
          <w:kern w:val="2"/>
          <w:sz w:val="21"/>
          <w:lang w:val="en-US" w:bidi="ar-SA"/>
          <w14:textFill>
            <w14:solidFill>
              <w14:schemeClr w14:val="tx1"/>
            </w14:solidFill>
          </w14:textFill>
        </w:rPr>
      </w:pPr>
    </w:p>
    <w:p>
      <w:pPr>
        <w:spacing w:line="360" w:lineRule="auto"/>
        <w:ind w:firstLine="632" w:firstLineChars="300"/>
        <w:rPr>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kern w:val="2"/>
          <w:sz w:val="21"/>
          <w:lang w:val="en-US" w:bidi="ar-SA"/>
          <w14:textFill>
            <w14:solidFill>
              <w14:schemeClr w14:val="tx1"/>
            </w14:solidFill>
          </w14:textFill>
        </w:rPr>
        <w:t>本合同未尽事宜，由承发包双方签订合同时另行约定，相关条款写入施工合同；本合同的最终解释权归发包人所有。</w:t>
      </w:r>
      <w:r>
        <w:rPr>
          <w:rFonts w:hint="eastAsia"/>
          <w:color w:val="000000" w:themeColor="text1"/>
          <w14:textFill>
            <w14:solidFill>
              <w14:schemeClr w14:val="tx1"/>
            </w14:solidFill>
          </w14:textFill>
        </w:rPr>
        <w:t xml:space="preserve"> </w:t>
      </w:r>
    </w:p>
    <w:p>
      <w:pPr>
        <w:pStyle w:val="3"/>
        <w:tabs>
          <w:tab w:val="left" w:pos="1125"/>
        </w:tabs>
        <w:spacing w:before="61"/>
        <w:ind w:right="136"/>
        <w:rPr>
          <w:color w:val="000000" w:themeColor="text1"/>
          <w:sz w:val="32"/>
          <w:szCs w:val="32"/>
          <w14:textFill>
            <w14:solidFill>
              <w14:schemeClr w14:val="tx1"/>
            </w14:solidFill>
          </w14:textFill>
        </w:rPr>
      </w:pPr>
    </w:p>
    <w:p>
      <w:pPr>
        <w:pStyle w:val="3"/>
        <w:tabs>
          <w:tab w:val="left" w:pos="1125"/>
        </w:tabs>
        <w:spacing w:before="61"/>
        <w:ind w:right="136"/>
        <w:rPr>
          <w:color w:val="000000" w:themeColor="text1"/>
          <w:sz w:val="32"/>
          <w:szCs w:val="32"/>
          <w14:textFill>
            <w14:solidFill>
              <w14:schemeClr w14:val="tx1"/>
            </w14:solidFill>
          </w14:textFill>
        </w:rPr>
      </w:pPr>
    </w:p>
    <w:p>
      <w:pPr>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br w:type="page"/>
      </w:r>
    </w:p>
    <w:p>
      <w:pPr>
        <w:pStyle w:val="3"/>
        <w:tabs>
          <w:tab w:val="left" w:pos="1125"/>
        </w:tabs>
        <w:spacing w:before="61"/>
        <w:ind w:right="136"/>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第六章</w:t>
      </w:r>
      <w:r>
        <w:rPr>
          <w:rFonts w:hint="eastAsia"/>
          <w:color w:val="000000" w:themeColor="text1"/>
          <w:sz w:val="32"/>
          <w:szCs w:val="32"/>
          <w14:textFill>
            <w14:solidFill>
              <w14:schemeClr w14:val="tx1"/>
            </w14:solidFill>
          </w14:textFill>
        </w:rPr>
        <w:tab/>
      </w:r>
      <w:r>
        <w:rPr>
          <w:rFonts w:hint="eastAsia"/>
          <w:color w:val="000000" w:themeColor="text1"/>
          <w:sz w:val="32"/>
          <w:szCs w:val="32"/>
          <w14:textFill>
            <w14:solidFill>
              <w14:schemeClr w14:val="tx1"/>
            </w14:solidFill>
          </w14:textFill>
        </w:rPr>
        <w:t xml:space="preserve"> 响应文件格式</w:t>
      </w:r>
    </w:p>
    <w:p>
      <w:pPr>
        <w:jc w:val="center"/>
        <w:rPr>
          <w:color w:val="000000" w:themeColor="text1"/>
          <w:sz w:val="44"/>
          <w:szCs w:val="44"/>
          <w:u w:val="single"/>
          <w14:textFill>
            <w14:solidFill>
              <w14:schemeClr w14:val="tx1"/>
            </w14:solidFill>
          </w14:textFill>
        </w:rPr>
      </w:pPr>
    </w:p>
    <w:p>
      <w:pPr>
        <w:jc w:val="center"/>
        <w:rPr>
          <w:rFonts w:hint="eastAsia"/>
          <w:color w:val="000000" w:themeColor="text1"/>
          <w:sz w:val="24"/>
          <w:szCs w:val="24"/>
          <w:u w:val="single"/>
          <w14:textFill>
            <w14:solidFill>
              <w14:schemeClr w14:val="tx1"/>
            </w14:solidFill>
          </w14:textFill>
        </w:rPr>
      </w:pPr>
    </w:p>
    <w:p>
      <w:pPr>
        <w:jc w:val="center"/>
        <w:rPr>
          <w:rFonts w:hint="eastAsia"/>
          <w:color w:val="000000" w:themeColor="text1"/>
          <w:sz w:val="24"/>
          <w:szCs w:val="24"/>
          <w:u w:val="single"/>
          <w14:textFill>
            <w14:solidFill>
              <w14:schemeClr w14:val="tx1"/>
            </w14:solidFill>
          </w14:textFill>
        </w:rPr>
      </w:pPr>
      <w:r>
        <w:rPr>
          <w:rFonts w:hint="eastAsia"/>
          <w:color w:val="000000" w:themeColor="text1"/>
          <w:sz w:val="24"/>
          <w:szCs w:val="24"/>
          <w:u w:val="single"/>
          <w14:textFill>
            <w14:solidFill>
              <w14:schemeClr w14:val="tx1"/>
            </w14:solidFill>
          </w14:textFill>
        </w:rPr>
        <w:t>（项目名称）</w:t>
      </w:r>
    </w:p>
    <w:p>
      <w:pPr>
        <w:pStyle w:val="2"/>
        <w:rPr>
          <w:rFonts w:hint="eastAsia"/>
          <w:color w:val="000000" w:themeColor="text1"/>
          <w:sz w:val="24"/>
          <w:szCs w:val="24"/>
          <w:u w:val="single"/>
          <w14:textFill>
            <w14:solidFill>
              <w14:schemeClr w14:val="tx1"/>
            </w14:solidFill>
          </w14:textFill>
        </w:rPr>
      </w:pPr>
    </w:p>
    <w:p>
      <w:pPr>
        <w:pStyle w:val="2"/>
        <w:rPr>
          <w:rFonts w:hint="eastAsia"/>
          <w:color w:val="000000" w:themeColor="text1"/>
          <w:sz w:val="24"/>
          <w:szCs w:val="24"/>
          <w:u w:val="single"/>
          <w14:textFill>
            <w14:solidFill>
              <w14:schemeClr w14:val="tx1"/>
            </w14:solidFill>
          </w14:textFill>
        </w:rPr>
      </w:pPr>
    </w:p>
    <w:p>
      <w:pPr>
        <w:jc w:val="center"/>
        <w:rPr>
          <w:rFonts w:cs="Arial"/>
          <w:b/>
          <w:color w:val="000000" w:themeColor="text1"/>
          <w:sz w:val="24"/>
          <w:szCs w:val="24"/>
          <w14:textFill>
            <w14:solidFill>
              <w14:schemeClr w14:val="tx1"/>
            </w14:solidFill>
          </w14:textFill>
        </w:rPr>
      </w:pPr>
      <w:bookmarkStart w:id="486" w:name="_Hlk450146333"/>
    </w:p>
    <w:p>
      <w:pPr>
        <w:jc w:val="center"/>
        <w:rPr>
          <w:rFonts w:cs="Arial"/>
          <w:color w:val="000000" w:themeColor="text1"/>
          <w:sz w:val="24"/>
          <w:szCs w:val="24"/>
          <w14:textFill>
            <w14:solidFill>
              <w14:schemeClr w14:val="tx1"/>
            </w14:solidFill>
          </w14:textFill>
        </w:rPr>
      </w:pPr>
      <w:bookmarkStart w:id="487" w:name="_Toc361_WPSOffice_Level1"/>
      <w:bookmarkStart w:id="488" w:name="_Toc18887_WPSOffice_Level1"/>
      <w:r>
        <w:rPr>
          <w:rFonts w:hint="eastAsia" w:cs="Arial"/>
          <w:color w:val="000000" w:themeColor="text1"/>
          <w:sz w:val="24"/>
          <w:szCs w:val="24"/>
          <w14:textFill>
            <w14:solidFill>
              <w14:schemeClr w14:val="tx1"/>
            </w14:solidFill>
          </w14:textFill>
        </w:rPr>
        <w:t xml:space="preserve">响 应 </w:t>
      </w:r>
      <w:bookmarkEnd w:id="486"/>
      <w:r>
        <w:rPr>
          <w:rFonts w:hint="eastAsia" w:cs="Arial"/>
          <w:color w:val="000000" w:themeColor="text1"/>
          <w:sz w:val="24"/>
          <w:szCs w:val="24"/>
          <w14:textFill>
            <w14:solidFill>
              <w14:schemeClr w14:val="tx1"/>
            </w14:solidFill>
          </w14:textFill>
        </w:rPr>
        <w:t>文 件</w:t>
      </w:r>
      <w:bookmarkEnd w:id="487"/>
      <w:bookmarkEnd w:id="488"/>
    </w:p>
    <w:p>
      <w:pPr>
        <w:ind w:firstLine="960" w:firstLineChars="400"/>
        <w:rPr>
          <w:rFonts w:hint="eastAsia" w:cs="Arial"/>
          <w:color w:val="000000" w:themeColor="text1"/>
          <w:sz w:val="24"/>
          <w:szCs w:val="24"/>
          <w14:textFill>
            <w14:solidFill>
              <w14:schemeClr w14:val="tx1"/>
            </w14:solidFill>
          </w14:textFill>
        </w:rPr>
      </w:pPr>
    </w:p>
    <w:p>
      <w:pPr>
        <w:ind w:firstLine="960" w:firstLineChars="400"/>
        <w:rPr>
          <w:rFonts w:hint="eastAsia" w:cs="Arial"/>
          <w:color w:val="000000" w:themeColor="text1"/>
          <w:sz w:val="24"/>
          <w:szCs w:val="24"/>
          <w14:textFill>
            <w14:solidFill>
              <w14:schemeClr w14:val="tx1"/>
            </w14:solidFill>
          </w14:textFill>
        </w:rPr>
      </w:pPr>
    </w:p>
    <w:p>
      <w:pPr>
        <w:ind w:firstLine="960" w:firstLineChars="400"/>
        <w:rPr>
          <w:rFonts w:hint="eastAsia" w:cs="Arial"/>
          <w:color w:val="000000" w:themeColor="text1"/>
          <w:sz w:val="24"/>
          <w:szCs w:val="24"/>
          <w14:textFill>
            <w14:solidFill>
              <w14:schemeClr w14:val="tx1"/>
            </w14:solidFill>
          </w14:textFill>
        </w:rPr>
      </w:pPr>
    </w:p>
    <w:p>
      <w:pPr>
        <w:ind w:firstLine="960" w:firstLineChars="400"/>
        <w:rPr>
          <w:rFonts w:cs="Arial"/>
          <w:color w:val="000000" w:themeColor="text1"/>
          <w:sz w:val="24"/>
          <w:szCs w:val="24"/>
          <w14:textFill>
            <w14:solidFill>
              <w14:schemeClr w14:val="tx1"/>
            </w14:solidFill>
          </w14:textFill>
        </w:rPr>
      </w:pPr>
      <w:r>
        <w:rPr>
          <w:rFonts w:hint="eastAsia" w:cs="Arial"/>
          <w:color w:val="000000" w:themeColor="text1"/>
          <w:sz w:val="24"/>
          <w:szCs w:val="24"/>
          <w14:textFill>
            <w14:solidFill>
              <w14:schemeClr w14:val="tx1"/>
            </w14:solidFill>
          </w14:textFill>
        </w:rPr>
        <w:t>项目编号：</w:t>
      </w:r>
      <w:r>
        <w:rPr>
          <w:rFonts w:hint="eastAsia" w:cs="Arial"/>
          <w:color w:val="000000" w:themeColor="text1"/>
          <w:sz w:val="24"/>
          <w:szCs w:val="24"/>
          <w:u w:val="single"/>
          <w14:textFill>
            <w14:solidFill>
              <w14:schemeClr w14:val="tx1"/>
            </w14:solidFill>
          </w14:textFill>
        </w:rPr>
        <w:t xml:space="preserve">                         </w:t>
      </w:r>
    </w:p>
    <w:p>
      <w:pPr>
        <w:jc w:val="center"/>
        <w:rPr>
          <w:rFonts w:cs="Arial"/>
          <w:color w:val="000000" w:themeColor="text1"/>
          <w:sz w:val="24"/>
          <w:szCs w:val="24"/>
          <w14:textFill>
            <w14:solidFill>
              <w14:schemeClr w14:val="tx1"/>
            </w14:solidFill>
          </w14:textFill>
        </w:rPr>
      </w:pPr>
    </w:p>
    <w:p>
      <w:pPr>
        <w:jc w:val="center"/>
        <w:rPr>
          <w:rFonts w:cs="Arial"/>
          <w:color w:val="000000" w:themeColor="text1"/>
          <w:sz w:val="24"/>
          <w:szCs w:val="24"/>
          <w14:textFill>
            <w14:solidFill>
              <w14:schemeClr w14:val="tx1"/>
            </w14:solidFill>
          </w14:textFill>
        </w:rPr>
      </w:pPr>
    </w:p>
    <w:p>
      <w:pPr>
        <w:ind w:firstLine="960" w:firstLineChars="400"/>
        <w:rPr>
          <w:color w:val="000000" w:themeColor="text1"/>
          <w:sz w:val="24"/>
          <w:szCs w:val="24"/>
          <w:u w:val="single"/>
          <w14:textFill>
            <w14:solidFill>
              <w14:schemeClr w14:val="tx1"/>
            </w14:solidFill>
          </w14:textFill>
        </w:rPr>
      </w:pPr>
      <w:bookmarkStart w:id="489" w:name="_Toc4204_WPSOffice_Level1"/>
      <w:bookmarkStart w:id="490" w:name="_Toc13389_WPSOffice_Level1"/>
      <w:r>
        <w:rPr>
          <w:rFonts w:hint="eastAsia" w:cs="Arial"/>
          <w:color w:val="000000" w:themeColor="text1"/>
          <w:sz w:val="24"/>
          <w:szCs w:val="24"/>
          <w14:textFill>
            <w14:solidFill>
              <w14:schemeClr w14:val="tx1"/>
            </w14:solidFill>
          </w14:textFill>
        </w:rPr>
        <w:t>采购人：</w:t>
      </w:r>
      <w:bookmarkEnd w:id="489"/>
      <w:bookmarkEnd w:id="490"/>
      <w:r>
        <w:rPr>
          <w:rFonts w:hint="eastAsia"/>
          <w:color w:val="000000" w:themeColor="text1"/>
          <w:sz w:val="24"/>
          <w:szCs w:val="24"/>
          <w:u w:val="single"/>
          <w14:textFill>
            <w14:solidFill>
              <w14:schemeClr w14:val="tx1"/>
            </w14:solidFill>
          </w14:textFill>
        </w:rPr>
        <w:t xml:space="preserve">                               </w:t>
      </w:r>
    </w:p>
    <w:p>
      <w:pPr>
        <w:ind w:firstLine="1320" w:firstLineChars="550"/>
        <w:rPr>
          <w:rFonts w:cs="Arial"/>
          <w:color w:val="000000" w:themeColor="text1"/>
          <w:sz w:val="24"/>
          <w:szCs w:val="24"/>
          <w14:textFill>
            <w14:solidFill>
              <w14:schemeClr w14:val="tx1"/>
            </w14:solidFill>
          </w14:textFill>
        </w:rPr>
      </w:pPr>
    </w:p>
    <w:p>
      <w:pPr>
        <w:spacing w:line="460" w:lineRule="exact"/>
        <w:ind w:firstLine="960" w:firstLineChars="400"/>
        <w:rPr>
          <w:color w:val="000000" w:themeColor="text1"/>
          <w:sz w:val="24"/>
          <w:szCs w:val="24"/>
          <w14:textFill>
            <w14:solidFill>
              <w14:schemeClr w14:val="tx1"/>
            </w14:solidFill>
          </w14:textFill>
        </w:rPr>
      </w:pPr>
      <w:bookmarkStart w:id="491" w:name="_Toc22977_WPSOffice_Level1"/>
      <w:bookmarkStart w:id="492" w:name="_Toc23736_WPSOffice_Level1"/>
      <w:r>
        <w:rPr>
          <w:rFonts w:hint="eastAsia"/>
          <w:color w:val="000000" w:themeColor="text1"/>
          <w:sz w:val="24"/>
          <w:szCs w:val="24"/>
          <w14:textFill>
            <w14:solidFill>
              <w14:schemeClr w14:val="tx1"/>
            </w14:solidFill>
          </w14:textFill>
        </w:rPr>
        <w:t>供应商签章：</w:t>
      </w:r>
      <w:r>
        <w:rPr>
          <w:rFonts w:hint="eastAsia"/>
          <w:color w:val="000000" w:themeColor="text1"/>
          <w:sz w:val="24"/>
          <w:szCs w:val="24"/>
          <w:u w:val="single"/>
          <w14:textFill>
            <w14:solidFill>
              <w14:schemeClr w14:val="tx1"/>
            </w14:solidFill>
          </w14:textFill>
        </w:rPr>
        <w:t xml:space="preserve">                             </w:t>
      </w:r>
      <w:bookmarkEnd w:id="491"/>
      <w:bookmarkEnd w:id="492"/>
    </w:p>
    <w:p>
      <w:pPr>
        <w:spacing w:line="460" w:lineRule="exact"/>
        <w:ind w:firstLine="732" w:firstLineChars="305"/>
        <w:rPr>
          <w:color w:val="000000" w:themeColor="text1"/>
          <w:sz w:val="24"/>
          <w:szCs w:val="24"/>
          <w:u w:val="single"/>
          <w14:textFill>
            <w14:solidFill>
              <w14:schemeClr w14:val="tx1"/>
            </w14:solidFill>
          </w14:textFill>
        </w:rPr>
      </w:pPr>
    </w:p>
    <w:p>
      <w:pPr>
        <w:spacing w:line="460" w:lineRule="exact"/>
        <w:ind w:firstLine="732" w:firstLineChars="305"/>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bookmarkStart w:id="493" w:name="_Toc22449_WPSOffice_Level1"/>
      <w:bookmarkStart w:id="494" w:name="_Toc7448_WPSOffice_Level1"/>
      <w:r>
        <w:rPr>
          <w:rFonts w:hint="eastAsia"/>
          <w:color w:val="000000" w:themeColor="text1"/>
          <w:sz w:val="24"/>
          <w:szCs w:val="24"/>
          <w14:textFill>
            <w14:solidFill>
              <w14:schemeClr w14:val="tx1"/>
            </w14:solidFill>
          </w14:textFill>
        </w:rPr>
        <w:t>法定代表人或其委托代理人：</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（签字或盖章）</w:t>
      </w:r>
      <w:bookmarkEnd w:id="493"/>
      <w:bookmarkEnd w:id="494"/>
    </w:p>
    <w:p>
      <w:pPr>
        <w:spacing w:line="460" w:lineRule="exact"/>
        <w:ind w:firstLine="435"/>
        <w:jc w:val="center"/>
        <w:rPr>
          <w:color w:val="000000" w:themeColor="text1"/>
          <w:sz w:val="24"/>
          <w:szCs w:val="24"/>
          <w14:textFill>
            <w14:solidFill>
              <w14:schemeClr w14:val="tx1"/>
            </w14:solidFill>
          </w14:textFill>
        </w:rPr>
      </w:pPr>
    </w:p>
    <w:p>
      <w:pPr>
        <w:spacing w:line="460" w:lineRule="exact"/>
        <w:ind w:firstLine="435"/>
        <w:jc w:val="center"/>
        <w:rPr>
          <w:color w:val="000000" w:themeColor="text1"/>
          <w:sz w:val="24"/>
          <w:szCs w:val="24"/>
          <w14:textFill>
            <w14:solidFill>
              <w14:schemeClr w14:val="tx1"/>
            </w14:solidFill>
          </w14:textFill>
        </w:rPr>
      </w:pPr>
    </w:p>
    <w:p>
      <w:pPr>
        <w:spacing w:line="460" w:lineRule="exact"/>
        <w:ind w:firstLine="435"/>
        <w:jc w:val="center"/>
        <w:rPr>
          <w:color w:val="000000" w:themeColor="text1"/>
          <w:sz w:val="24"/>
          <w:szCs w:val="24"/>
          <w14:textFill>
            <w14:solidFill>
              <w14:schemeClr w14:val="tx1"/>
            </w14:solidFill>
          </w14:textFill>
        </w:rPr>
      </w:pPr>
    </w:p>
    <w:p>
      <w:pPr>
        <w:spacing w:line="460" w:lineRule="exact"/>
        <w:ind w:firstLine="435"/>
        <w:jc w:val="center"/>
        <w:rPr>
          <w:color w:val="000000" w:themeColor="text1"/>
          <w:sz w:val="24"/>
          <w:szCs w:val="24"/>
          <w14:textFill>
            <w14:solidFill>
              <w14:schemeClr w14:val="tx1"/>
            </w14:solidFill>
          </w14:textFill>
        </w:rPr>
      </w:pPr>
      <w:bookmarkStart w:id="495" w:name="_Toc11712_WPSOffice_Level2"/>
      <w:bookmarkStart w:id="496" w:name="_Toc17804_WPSOffice_Level2"/>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年</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月</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日</w:t>
      </w:r>
      <w:bookmarkEnd w:id="495"/>
      <w:bookmarkEnd w:id="496"/>
    </w:p>
    <w:p>
      <w:pPr>
        <w:tabs>
          <w:tab w:val="left" w:pos="645"/>
          <w:tab w:val="left" w:pos="1286"/>
          <w:tab w:val="left" w:pos="1929"/>
        </w:tabs>
        <w:spacing w:before="54"/>
        <w:ind w:right="135"/>
        <w:jc w:val="center"/>
        <w:rPr>
          <w:b/>
          <w:color w:val="000000" w:themeColor="text1"/>
          <w:sz w:val="24"/>
          <w:szCs w:val="24"/>
          <w14:textFill>
            <w14:solidFill>
              <w14:schemeClr w14:val="tx1"/>
            </w14:solidFill>
          </w14:textFill>
        </w:rPr>
      </w:pPr>
    </w:p>
    <w:p>
      <w:pPr>
        <w:widowControl/>
        <w:autoSpaceDE/>
        <w:autoSpaceDN/>
        <w:rPr>
          <w:color w:val="000000" w:themeColor="text1"/>
          <w:sz w:val="28"/>
          <w:szCs w:val="28"/>
          <w14:textFill>
            <w14:solidFill>
              <w14:schemeClr w14:val="tx1"/>
            </w14:solidFill>
          </w14:textFill>
        </w:rPr>
        <w:sectPr>
          <w:pgSz w:w="11910" w:h="16840"/>
          <w:pgMar w:top="1380" w:right="1440" w:bottom="1580" w:left="1580" w:header="890" w:footer="1363" w:gutter="0"/>
          <w:cols w:space="720" w:num="1"/>
        </w:sectPr>
      </w:pPr>
    </w:p>
    <w:p>
      <w:pPr>
        <w:pStyle w:val="16"/>
        <w:spacing w:before="9"/>
        <w:rPr>
          <w:b/>
          <w:color w:val="000000" w:themeColor="text1"/>
          <w:sz w:val="8"/>
          <w14:textFill>
            <w14:solidFill>
              <w14:schemeClr w14:val="tx1"/>
            </w14:solidFill>
          </w14:textFill>
        </w:rPr>
      </w:pPr>
    </w:p>
    <w:p>
      <w:pPr>
        <w:pStyle w:val="5"/>
        <w:keepNext w:val="0"/>
        <w:keepLines w:val="0"/>
        <w:autoSpaceDE w:val="0"/>
        <w:autoSpaceDN w:val="0"/>
        <w:spacing w:before="0" w:after="0" w:line="240" w:lineRule="auto"/>
        <w:ind w:left="1316"/>
        <w:jc w:val="center"/>
        <w:rPr>
          <w:rFonts w:ascii="宋体" w:hAnsi="宋体" w:cs="宋体"/>
          <w:color w:val="000000" w:themeColor="text1"/>
          <w:sz w:val="24"/>
          <w:szCs w:val="24"/>
          <w:lang w:bidi="zh-CN"/>
          <w14:textFill>
            <w14:solidFill>
              <w14:schemeClr w14:val="tx1"/>
            </w14:solidFill>
          </w14:textFill>
        </w:rPr>
      </w:pPr>
      <w:r>
        <w:rPr>
          <w:rFonts w:hint="eastAsia" w:ascii="宋体" w:hAnsi="宋体" w:cs="宋体"/>
          <w:color w:val="000000" w:themeColor="text1"/>
          <w:sz w:val="24"/>
          <w:szCs w:val="24"/>
          <w:lang w:bidi="zh-CN"/>
          <w14:textFill>
            <w14:solidFill>
              <w14:schemeClr w14:val="tx1"/>
            </w14:solidFill>
          </w14:textFill>
        </w:rPr>
        <w:t>一、报价表格式</w:t>
      </w:r>
    </w:p>
    <w:p>
      <w:pPr>
        <w:pStyle w:val="16"/>
        <w:spacing w:line="360" w:lineRule="auto"/>
        <w:rPr>
          <w:b/>
          <w:color w:val="000000" w:themeColor="text1"/>
          <w:sz w:val="21"/>
          <w:szCs w:val="21"/>
          <w14:textFill>
            <w14:solidFill>
              <w14:schemeClr w14:val="tx1"/>
            </w14:solidFill>
          </w14:textFill>
        </w:rPr>
      </w:pPr>
    </w:p>
    <w:p>
      <w:pPr>
        <w:numPr>
          <w:ilvl w:val="1"/>
          <w:numId w:val="17"/>
        </w:numPr>
        <w:spacing w:before="240" w:beforeLines="100" w:line="360" w:lineRule="auto"/>
        <w:ind w:left="86" w:leftChars="39" w:firstLine="211" w:firstLineChars="100"/>
        <w:outlineLvl w:val="3"/>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报价表</w:t>
      </w:r>
    </w:p>
    <w:p>
      <w:pPr>
        <w:spacing w:line="360" w:lineRule="auto"/>
        <w:rPr>
          <w:b/>
          <w:color w:val="000000" w:themeColor="text1"/>
          <w:sz w:val="21"/>
          <w:szCs w:val="21"/>
          <w14:textFill>
            <w14:solidFill>
              <w14:schemeClr w14:val="tx1"/>
            </w14:solidFill>
          </w14:textFill>
        </w:rPr>
      </w:pPr>
    </w:p>
    <w:p>
      <w:pPr>
        <w:spacing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项目名称：</w:t>
      </w:r>
      <w:r>
        <w:rPr>
          <w:rFonts w:hint="eastAsia"/>
          <w:b/>
          <w:color w:val="000000" w:themeColor="text1"/>
          <w:sz w:val="21"/>
          <w:szCs w:val="21"/>
          <w:u w:val="single"/>
          <w14:textFill>
            <w14:solidFill>
              <w14:schemeClr w14:val="tx1"/>
            </w14:solidFill>
          </w14:textFill>
        </w:rPr>
        <w:t xml:space="preserve">   </w:t>
      </w:r>
      <w:r>
        <w:rPr>
          <w:rFonts w:hint="eastAsia"/>
          <w:b/>
          <w:color w:val="000000" w:themeColor="text1"/>
          <w:sz w:val="21"/>
          <w:szCs w:val="21"/>
          <w:u w:val="single"/>
          <w14:textFill>
            <w14:solidFill>
              <w14:schemeClr w14:val="tx1"/>
            </w14:solidFill>
          </w14:textFill>
        </w:rPr>
        <w:tab/>
      </w:r>
      <w:r>
        <w:rPr>
          <w:rFonts w:hint="eastAsia"/>
          <w:b/>
          <w:color w:val="000000" w:themeColor="text1"/>
          <w:sz w:val="21"/>
          <w:szCs w:val="21"/>
          <w:u w:val="single"/>
          <w14:textFill>
            <w14:solidFill>
              <w14:schemeClr w14:val="tx1"/>
            </w14:solidFill>
          </w14:textFill>
        </w:rPr>
        <w:t xml:space="preserve">                 </w:t>
      </w:r>
    </w:p>
    <w:p>
      <w:pPr>
        <w:spacing w:line="360" w:lineRule="auto"/>
        <w:rPr>
          <w:b/>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项目编号：</w:t>
      </w:r>
      <w:r>
        <w:rPr>
          <w:rFonts w:hint="eastAsia"/>
          <w:b/>
          <w:color w:val="000000" w:themeColor="text1"/>
          <w:sz w:val="21"/>
          <w:szCs w:val="21"/>
          <w:u w:val="single"/>
          <w14:textFill>
            <w14:solidFill>
              <w14:schemeClr w14:val="tx1"/>
            </w14:solidFill>
          </w14:textFill>
        </w:rPr>
        <w:t xml:space="preserve">   </w:t>
      </w:r>
      <w:r>
        <w:rPr>
          <w:rFonts w:hint="eastAsia"/>
          <w:b/>
          <w:color w:val="000000" w:themeColor="text1"/>
          <w:sz w:val="21"/>
          <w:szCs w:val="21"/>
          <w:u w:val="single"/>
          <w14:textFill>
            <w14:solidFill>
              <w14:schemeClr w14:val="tx1"/>
            </w14:solidFill>
          </w14:textFill>
        </w:rPr>
        <w:tab/>
      </w:r>
      <w:r>
        <w:rPr>
          <w:rFonts w:hint="eastAsia"/>
          <w:b/>
          <w:color w:val="000000" w:themeColor="text1"/>
          <w:sz w:val="21"/>
          <w:szCs w:val="21"/>
          <w:u w:val="single"/>
          <w14:textFill>
            <w14:solidFill>
              <w14:schemeClr w14:val="tx1"/>
            </w14:solidFill>
          </w14:textFill>
        </w:rPr>
        <w:t xml:space="preserve">                 </w:t>
      </w:r>
    </w:p>
    <w:p>
      <w:pPr>
        <w:spacing w:line="360" w:lineRule="auto"/>
        <w:rPr>
          <w:b/>
          <w:color w:val="000000" w:themeColor="text1"/>
          <w:sz w:val="21"/>
          <w:szCs w:val="21"/>
          <w14:textFill>
            <w14:solidFill>
              <w14:schemeClr w14:val="tx1"/>
            </w14:solidFill>
          </w14:textFill>
        </w:rPr>
      </w:pPr>
    </w:p>
    <w:tbl>
      <w:tblPr>
        <w:tblStyle w:val="3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2461" w:type="dxa"/>
            <w:tcBorders>
              <w:top w:val="single" w:color="000000" w:sz="4" w:space="0"/>
              <w:left w:val="single" w:color="000000" w:sz="4" w:space="0"/>
              <w:bottom w:val="single" w:color="000000" w:sz="4" w:space="0"/>
              <w:right w:val="single" w:color="000000" w:sz="4" w:space="0"/>
            </w:tcBorders>
          </w:tcPr>
          <w:p>
            <w:pPr>
              <w:pStyle w:val="69"/>
              <w:spacing w:before="177" w:line="360" w:lineRule="auto"/>
              <w:ind w:left="5"/>
              <w:jc w:val="center"/>
              <w:rPr>
                <w:b/>
                <w:color w:val="000000" w:themeColor="text1"/>
                <w:sz w:val="21"/>
                <w:szCs w:val="21"/>
                <w:lang w:eastAsia="en-US"/>
                <w14:textFill>
                  <w14:solidFill>
                    <w14:schemeClr w14:val="tx1"/>
                  </w14:solidFill>
                </w14:textFill>
              </w:rPr>
            </w:pPr>
            <w:r>
              <w:rPr>
                <w:rFonts w:hint="eastAsia"/>
                <w:b/>
                <w:color w:val="000000" w:themeColor="text1"/>
                <w:sz w:val="21"/>
                <w:szCs w:val="21"/>
                <w:lang w:val="en-US" w:eastAsia="en-US"/>
                <w14:textFill>
                  <w14:solidFill>
                    <w14:schemeClr w14:val="tx1"/>
                  </w14:solidFill>
                </w14:textFill>
              </w:rPr>
              <w:t>供应商名称</w:t>
            </w:r>
          </w:p>
        </w:tc>
        <w:tc>
          <w:tcPr>
            <w:tcW w:w="6064" w:type="dxa"/>
            <w:tcBorders>
              <w:top w:val="single" w:color="000000" w:sz="4" w:space="0"/>
              <w:left w:val="single" w:color="000000" w:sz="4" w:space="0"/>
              <w:bottom w:val="single" w:color="000000" w:sz="4" w:space="0"/>
              <w:right w:val="single" w:color="000000" w:sz="4" w:space="0"/>
            </w:tcBorders>
          </w:tcPr>
          <w:p>
            <w:pPr>
              <w:pStyle w:val="69"/>
              <w:spacing w:line="360" w:lineRule="auto"/>
              <w:rPr>
                <w:color w:val="000000" w:themeColor="text1"/>
                <w:sz w:val="21"/>
                <w:szCs w:val="21"/>
                <w:lang w:eastAsia="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tcBorders>
              <w:top w:val="single" w:color="000000" w:sz="4" w:space="0"/>
              <w:left w:val="single" w:color="000000" w:sz="4" w:space="0"/>
              <w:bottom w:val="single" w:color="000000" w:sz="4" w:space="0"/>
              <w:right w:val="single" w:color="000000" w:sz="4" w:space="0"/>
            </w:tcBorders>
          </w:tcPr>
          <w:p>
            <w:pPr>
              <w:pStyle w:val="69"/>
              <w:spacing w:before="2" w:line="360" w:lineRule="auto"/>
              <w:rPr>
                <w:b/>
                <w:color w:val="000000" w:themeColor="text1"/>
                <w:sz w:val="21"/>
                <w:szCs w:val="21"/>
                <w:lang w:eastAsia="en-US"/>
                <w14:textFill>
                  <w14:solidFill>
                    <w14:schemeClr w14:val="tx1"/>
                  </w14:solidFill>
                </w14:textFill>
              </w:rPr>
            </w:pPr>
          </w:p>
          <w:p>
            <w:pPr>
              <w:pStyle w:val="69"/>
              <w:spacing w:line="360" w:lineRule="auto"/>
              <w:ind w:left="8"/>
              <w:jc w:val="center"/>
              <w:rPr>
                <w:b/>
                <w:color w:val="000000" w:themeColor="text1"/>
                <w:sz w:val="21"/>
                <w:szCs w:val="21"/>
                <w:lang w:eastAsia="en-US"/>
                <w14:textFill>
                  <w14:solidFill>
                    <w14:schemeClr w14:val="tx1"/>
                  </w14:solidFill>
                </w14:textFill>
              </w:rPr>
            </w:pPr>
            <w:r>
              <w:rPr>
                <w:rFonts w:hint="eastAsia"/>
                <w:b/>
                <w:color w:val="000000" w:themeColor="text1"/>
                <w:sz w:val="21"/>
                <w:szCs w:val="21"/>
                <w:lang w:val="en-US" w:eastAsia="en-US"/>
                <w14:textFill>
                  <w14:solidFill>
                    <w14:schemeClr w14:val="tx1"/>
                  </w14:solidFill>
                </w14:textFill>
              </w:rPr>
              <w:t>谈判范围</w:t>
            </w:r>
          </w:p>
        </w:tc>
        <w:tc>
          <w:tcPr>
            <w:tcW w:w="6064" w:type="dxa"/>
            <w:tcBorders>
              <w:top w:val="single" w:color="000000" w:sz="4" w:space="0"/>
              <w:left w:val="single" w:color="000000" w:sz="4" w:space="0"/>
              <w:bottom w:val="single" w:color="000000" w:sz="4" w:space="0"/>
              <w:right w:val="single" w:color="000000" w:sz="4" w:space="0"/>
            </w:tcBorders>
          </w:tcPr>
          <w:p>
            <w:pPr>
              <w:pStyle w:val="69"/>
              <w:tabs>
                <w:tab w:val="left" w:pos="1547"/>
              </w:tabs>
              <w:spacing w:before="233" w:line="360" w:lineRule="auto"/>
              <w:ind w:left="107"/>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全部</w:t>
            </w:r>
            <w:r>
              <w:rPr>
                <w:rFonts w:hint="eastAsia"/>
                <w:color w:val="000000" w:themeColor="text1"/>
                <w:sz w:val="21"/>
                <w:szCs w:val="21"/>
                <w:lang w:eastAsia="en-US"/>
                <w14:textFill>
                  <w14:solidFill>
                    <w14:schemeClr w14:val="tx1"/>
                  </w14:solidFill>
                </w14:textFill>
              </w:rPr>
              <w:t xml:space="preserve"> / </w:t>
            </w:r>
            <w:r>
              <w:rPr>
                <w:rFonts w:hint="eastAsia"/>
                <w:color w:val="000000" w:themeColor="text1"/>
                <w:sz w:val="21"/>
                <w:szCs w:val="21"/>
                <w:lang w:val="en-US" w:eastAsia="en-US"/>
                <w14:textFill>
                  <w14:solidFill>
                    <w14:schemeClr w14:val="tx1"/>
                  </w14:solidFill>
                </w14:textFill>
              </w:rPr>
              <w:t>第</w:t>
            </w:r>
            <w:r>
              <w:rPr>
                <w:rFonts w:hint="eastAsia"/>
                <w:color w:val="000000" w:themeColor="text1"/>
                <w:sz w:val="21"/>
                <w:szCs w:val="21"/>
                <w:u w:val="single"/>
                <w:lang w:eastAsia="en-US"/>
                <w14:textFill>
                  <w14:solidFill>
                    <w14:schemeClr w14:val="tx1"/>
                  </w14:solidFill>
                </w14:textFill>
              </w:rPr>
              <w:t xml:space="preserve"> </w:t>
            </w:r>
            <w:r>
              <w:rPr>
                <w:rFonts w:hint="eastAsia"/>
                <w:color w:val="000000" w:themeColor="text1"/>
                <w:sz w:val="21"/>
                <w:szCs w:val="21"/>
                <w:u w:val="single"/>
                <w:lang w:eastAsia="en-US"/>
                <w14:textFill>
                  <w14:solidFill>
                    <w14:schemeClr w14:val="tx1"/>
                  </w14:solidFill>
                </w14:textFill>
              </w:rPr>
              <w:tab/>
            </w:r>
            <w:r>
              <w:rPr>
                <w:rFonts w:hint="eastAsia"/>
                <w:color w:val="000000" w:themeColor="text1"/>
                <w:sz w:val="21"/>
                <w:szCs w:val="21"/>
                <w:lang w:val="en-US" w:eastAsia="en-US"/>
                <w14:textFill>
                  <w14:solidFill>
                    <w14:schemeClr w14:val="tx1"/>
                  </w14:solidFill>
                </w14:textFill>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2461" w:type="dxa"/>
            <w:tcBorders>
              <w:top w:val="single" w:color="000000" w:sz="4" w:space="0"/>
              <w:left w:val="single" w:color="000000" w:sz="4" w:space="0"/>
              <w:bottom w:val="single" w:color="000000" w:sz="4" w:space="0"/>
              <w:right w:val="single" w:color="000000" w:sz="4" w:space="0"/>
            </w:tcBorders>
          </w:tcPr>
          <w:p>
            <w:pPr>
              <w:pStyle w:val="69"/>
              <w:spacing w:before="9" w:line="360" w:lineRule="auto"/>
              <w:rPr>
                <w:b/>
                <w:color w:val="000000" w:themeColor="text1"/>
                <w:sz w:val="21"/>
                <w:szCs w:val="21"/>
                <w14:textFill>
                  <w14:solidFill>
                    <w14:schemeClr w14:val="tx1"/>
                  </w14:solidFill>
                </w14:textFill>
              </w:rPr>
            </w:pPr>
          </w:p>
          <w:p>
            <w:pPr>
              <w:pStyle w:val="69"/>
              <w:spacing w:line="360" w:lineRule="auto"/>
              <w:ind w:left="10"/>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报价</w:t>
            </w:r>
          </w:p>
          <w:p>
            <w:pPr>
              <w:pStyle w:val="69"/>
              <w:spacing w:before="82" w:line="360" w:lineRule="auto"/>
              <w:ind w:left="7"/>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（详见备注说明）</w:t>
            </w:r>
          </w:p>
        </w:tc>
        <w:tc>
          <w:tcPr>
            <w:tcW w:w="6064" w:type="dxa"/>
            <w:tcBorders>
              <w:top w:val="single" w:color="000000" w:sz="4" w:space="0"/>
              <w:left w:val="single" w:color="000000" w:sz="4" w:space="0"/>
              <w:bottom w:val="single" w:color="000000" w:sz="4" w:space="0"/>
              <w:right w:val="single" w:color="000000" w:sz="4" w:space="0"/>
            </w:tcBorders>
          </w:tcPr>
          <w:p>
            <w:pPr>
              <w:pStyle w:val="69"/>
              <w:spacing w:before="11" w:line="360" w:lineRule="auto"/>
              <w:rPr>
                <w:b/>
                <w:color w:val="000000" w:themeColor="text1"/>
                <w:sz w:val="21"/>
                <w:szCs w:val="21"/>
                <w14:textFill>
                  <w14:solidFill>
                    <w14:schemeClr w14:val="tx1"/>
                  </w14:solidFill>
                </w14:textFill>
              </w:rPr>
            </w:pPr>
          </w:p>
          <w:p>
            <w:pPr>
              <w:pStyle w:val="69"/>
              <w:tabs>
                <w:tab w:val="left" w:pos="4482"/>
              </w:tabs>
              <w:spacing w:before="1" w:line="360" w:lineRule="auto"/>
              <w:ind w:left="107"/>
              <w:rPr>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人民币或费率（大写）</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（小写</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461" w:type="dxa"/>
            <w:tcBorders>
              <w:top w:val="single" w:color="000000" w:sz="4" w:space="0"/>
              <w:left w:val="single" w:color="000000" w:sz="4" w:space="0"/>
              <w:bottom w:val="single" w:color="000000" w:sz="4" w:space="0"/>
              <w:right w:val="single" w:color="000000" w:sz="4" w:space="0"/>
            </w:tcBorders>
          </w:tcPr>
          <w:p>
            <w:pPr>
              <w:pStyle w:val="69"/>
              <w:spacing w:before="160" w:line="360" w:lineRule="auto"/>
              <w:ind w:left="5"/>
              <w:jc w:val="center"/>
              <w:rPr>
                <w:b/>
                <w:color w:val="000000" w:themeColor="text1"/>
                <w:sz w:val="21"/>
                <w:szCs w:val="21"/>
                <w:lang w:eastAsia="en-US"/>
                <w14:textFill>
                  <w14:solidFill>
                    <w14:schemeClr w14:val="tx1"/>
                  </w14:solidFill>
                </w14:textFill>
              </w:rPr>
            </w:pPr>
            <w:r>
              <w:rPr>
                <w:rFonts w:hint="eastAsia"/>
                <w:b/>
                <w:color w:val="000000" w:themeColor="text1"/>
                <w:sz w:val="21"/>
                <w:szCs w:val="21"/>
                <w:lang w:val="en-US" w:eastAsia="en-US"/>
                <w14:textFill>
                  <w14:solidFill>
                    <w14:schemeClr w14:val="tx1"/>
                  </w14:solidFill>
                </w14:textFill>
              </w:rPr>
              <w:t>质量标准</w:t>
            </w:r>
          </w:p>
        </w:tc>
        <w:tc>
          <w:tcPr>
            <w:tcW w:w="6064" w:type="dxa"/>
            <w:tcBorders>
              <w:top w:val="single" w:color="000000" w:sz="4" w:space="0"/>
              <w:left w:val="single" w:color="000000" w:sz="4" w:space="0"/>
              <w:bottom w:val="single" w:color="000000" w:sz="4" w:space="0"/>
              <w:right w:val="single" w:color="000000" w:sz="4" w:space="0"/>
            </w:tcBorders>
          </w:tcPr>
          <w:p>
            <w:pPr>
              <w:pStyle w:val="69"/>
              <w:spacing w:line="360" w:lineRule="auto"/>
              <w:rPr>
                <w:color w:val="000000" w:themeColor="text1"/>
                <w:sz w:val="21"/>
                <w:szCs w:val="21"/>
                <w:lang w:eastAsia="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461" w:type="dxa"/>
            <w:tcBorders>
              <w:top w:val="single" w:color="000000" w:sz="4" w:space="0"/>
              <w:left w:val="single" w:color="000000" w:sz="4" w:space="0"/>
              <w:bottom w:val="single" w:color="000000" w:sz="4" w:space="0"/>
              <w:right w:val="single" w:color="000000" w:sz="4" w:space="0"/>
            </w:tcBorders>
          </w:tcPr>
          <w:p>
            <w:pPr>
              <w:pStyle w:val="69"/>
              <w:tabs>
                <w:tab w:val="left" w:pos="730"/>
              </w:tabs>
              <w:spacing w:before="161" w:line="360" w:lineRule="auto"/>
              <w:ind w:left="6"/>
              <w:jc w:val="center"/>
              <w:rPr>
                <w:b/>
                <w:color w:val="000000" w:themeColor="text1"/>
                <w:sz w:val="21"/>
                <w:szCs w:val="21"/>
                <w:lang w:eastAsia="en-US"/>
                <w14:textFill>
                  <w14:solidFill>
                    <w14:schemeClr w14:val="tx1"/>
                  </w14:solidFill>
                </w14:textFill>
              </w:rPr>
            </w:pPr>
            <w:r>
              <w:rPr>
                <w:rFonts w:hint="eastAsia"/>
                <w:b/>
                <w:color w:val="000000" w:themeColor="text1"/>
                <w:sz w:val="21"/>
                <w:szCs w:val="21"/>
                <w:lang w:val="en-US" w:eastAsia="en-US"/>
                <w14:textFill>
                  <w14:solidFill>
                    <w14:schemeClr w14:val="tx1"/>
                  </w14:solidFill>
                </w14:textFill>
              </w:rPr>
              <w:t>工</w:t>
            </w:r>
            <w:r>
              <w:rPr>
                <w:rFonts w:hint="eastAsia"/>
                <w:b/>
                <w:color w:val="000000" w:themeColor="text1"/>
                <w:sz w:val="21"/>
                <w:szCs w:val="21"/>
                <w:lang w:eastAsia="en-US"/>
                <w14:textFill>
                  <w14:solidFill>
                    <w14:schemeClr w14:val="tx1"/>
                  </w14:solidFill>
                </w14:textFill>
              </w:rPr>
              <w:tab/>
            </w:r>
            <w:r>
              <w:rPr>
                <w:rFonts w:hint="eastAsia"/>
                <w:b/>
                <w:color w:val="000000" w:themeColor="text1"/>
                <w:sz w:val="21"/>
                <w:szCs w:val="21"/>
                <w:lang w:val="en-US" w:eastAsia="en-US"/>
                <w14:textFill>
                  <w14:solidFill>
                    <w14:schemeClr w14:val="tx1"/>
                  </w14:solidFill>
                </w14:textFill>
              </w:rPr>
              <w:t>期</w:t>
            </w:r>
          </w:p>
        </w:tc>
        <w:tc>
          <w:tcPr>
            <w:tcW w:w="6064" w:type="dxa"/>
            <w:tcBorders>
              <w:top w:val="single" w:color="000000" w:sz="4" w:space="0"/>
              <w:left w:val="single" w:color="000000" w:sz="4" w:space="0"/>
              <w:bottom w:val="single" w:color="000000" w:sz="4" w:space="0"/>
              <w:right w:val="single" w:color="000000" w:sz="4" w:space="0"/>
            </w:tcBorders>
          </w:tcPr>
          <w:p>
            <w:pPr>
              <w:pStyle w:val="69"/>
              <w:tabs>
                <w:tab w:val="left" w:pos="2267"/>
              </w:tabs>
              <w:spacing w:before="161" w:line="360" w:lineRule="auto"/>
              <w:ind w:left="107"/>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接开工令后</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日历天完工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461" w:type="dxa"/>
            <w:tcBorders>
              <w:top w:val="single" w:color="000000" w:sz="4" w:space="0"/>
              <w:left w:val="single" w:color="000000" w:sz="4" w:space="0"/>
              <w:bottom w:val="single" w:color="000000" w:sz="4" w:space="0"/>
              <w:right w:val="single" w:color="000000" w:sz="4" w:space="0"/>
            </w:tcBorders>
          </w:tcPr>
          <w:p>
            <w:pPr>
              <w:pStyle w:val="69"/>
              <w:spacing w:before="160" w:line="360" w:lineRule="auto"/>
              <w:ind w:left="7"/>
              <w:jc w:val="center"/>
              <w:rPr>
                <w:b/>
                <w:color w:val="000000" w:themeColor="text1"/>
                <w:sz w:val="21"/>
                <w:szCs w:val="21"/>
                <w:lang w:eastAsia="en-US"/>
                <w14:textFill>
                  <w14:solidFill>
                    <w14:schemeClr w14:val="tx1"/>
                  </w14:solidFill>
                </w14:textFill>
              </w:rPr>
            </w:pPr>
            <w:r>
              <w:rPr>
                <w:rFonts w:hint="eastAsia"/>
                <w:b/>
                <w:color w:val="000000" w:themeColor="text1"/>
                <w:sz w:val="21"/>
                <w:szCs w:val="21"/>
                <w:lang w:val="en-US" w:eastAsia="en-US"/>
                <w14:textFill>
                  <w14:solidFill>
                    <w14:schemeClr w14:val="tx1"/>
                  </w14:solidFill>
                </w14:textFill>
              </w:rPr>
              <w:t>是否响应付款方式</w:t>
            </w:r>
          </w:p>
        </w:tc>
        <w:tc>
          <w:tcPr>
            <w:tcW w:w="6064" w:type="dxa"/>
            <w:tcBorders>
              <w:top w:val="single" w:color="000000" w:sz="4" w:space="0"/>
              <w:left w:val="single" w:color="000000" w:sz="4" w:space="0"/>
              <w:bottom w:val="single" w:color="000000" w:sz="4" w:space="0"/>
              <w:right w:val="single" w:color="000000" w:sz="4" w:space="0"/>
            </w:tcBorders>
          </w:tcPr>
          <w:p>
            <w:pPr>
              <w:pStyle w:val="69"/>
              <w:tabs>
                <w:tab w:val="left" w:pos="1067"/>
                <w:tab w:val="left" w:pos="1907"/>
              </w:tabs>
              <w:spacing w:before="160" w:line="360" w:lineRule="auto"/>
              <w:ind w:left="107"/>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是</w:t>
            </w:r>
            <w:r>
              <w:rPr>
                <w:rFonts w:hint="eastAsia"/>
                <w:color w:val="000000" w:themeColor="text1"/>
                <w:sz w:val="21"/>
                <w:szCs w:val="21"/>
                <w:lang w:eastAsia="en-US"/>
                <w14:textFill>
                  <w14:solidFill>
                    <w14:schemeClr w14:val="tx1"/>
                  </w14:solidFill>
                </w14:textFill>
              </w:rPr>
              <w:t>□</w:t>
            </w:r>
            <w:r>
              <w:rPr>
                <w:rFonts w:hint="eastAsia"/>
                <w:color w:val="000000" w:themeColor="text1"/>
                <w:sz w:val="21"/>
                <w:szCs w:val="21"/>
                <w:lang w:eastAsia="en-US"/>
                <w14:textFill>
                  <w14:solidFill>
                    <w14:schemeClr w14:val="tx1"/>
                  </w14:solidFill>
                </w14:textFill>
              </w:rPr>
              <w:tab/>
            </w:r>
            <w:r>
              <w:rPr>
                <w:rFonts w:hint="eastAsia"/>
                <w:color w:val="000000" w:themeColor="text1"/>
                <w:sz w:val="21"/>
                <w:szCs w:val="21"/>
                <w:lang w:val="en-US" w:eastAsia="en-US"/>
                <w14:textFill>
                  <w14:solidFill>
                    <w14:schemeClr w14:val="tx1"/>
                  </w14:solidFill>
                </w14:textFill>
              </w:rPr>
              <w:t>否</w:t>
            </w:r>
            <w:r>
              <w:rPr>
                <w:rFonts w:hint="eastAsia"/>
                <w:color w:val="000000" w:themeColor="text1"/>
                <w:sz w:val="21"/>
                <w:szCs w:val="21"/>
                <w:lang w:eastAsia="en-US"/>
                <w14:textFill>
                  <w14:solidFill>
                    <w14:schemeClr w14:val="tx1"/>
                  </w14:solidFill>
                </w14:textFill>
              </w:rPr>
              <w:t>□</w:t>
            </w:r>
            <w:r>
              <w:rPr>
                <w:rFonts w:hint="eastAsia"/>
                <w:color w:val="000000" w:themeColor="text1"/>
                <w:sz w:val="21"/>
                <w:szCs w:val="21"/>
                <w:lang w:eastAsia="en-US"/>
                <w14:textFill>
                  <w14:solidFill>
                    <w14:schemeClr w14:val="tx1"/>
                  </w14:solidFill>
                </w14:textFill>
              </w:rPr>
              <w:tab/>
            </w:r>
            <w:r>
              <w:rPr>
                <w:rFonts w:hint="eastAsia"/>
                <w:color w:val="000000" w:themeColor="text1"/>
                <w:sz w:val="21"/>
                <w:szCs w:val="21"/>
                <w:lang w:val="en-US" w:eastAsia="en-US"/>
                <w14:textFill>
                  <w14:solidFill>
                    <w14:schemeClr w14:val="tx1"/>
                  </w14:solidFill>
                </w14:textFill>
              </w:rPr>
              <w:t>（划</w:t>
            </w:r>
            <w:r>
              <w:rPr>
                <w:rFonts w:hint="eastAsia"/>
                <w:color w:val="000000" w:themeColor="text1"/>
                <w:sz w:val="21"/>
                <w:szCs w:val="21"/>
                <w:lang w:eastAsia="en-US"/>
                <w14:textFill>
                  <w14:solidFill>
                    <w14:schemeClr w14:val="tx1"/>
                  </w14:solidFill>
                </w14:textFill>
              </w:rPr>
              <w:t>√</w:t>
            </w:r>
            <w:r>
              <w:rPr>
                <w:rFonts w:hint="eastAsia"/>
                <w:color w:val="000000" w:themeColor="text1"/>
                <w:sz w:val="21"/>
                <w:szCs w:val="21"/>
                <w:lang w:val="en-US" w:eastAsia="en-US"/>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461" w:type="dxa"/>
            <w:tcBorders>
              <w:top w:val="single" w:color="000000" w:sz="4" w:space="0"/>
              <w:left w:val="single" w:color="000000" w:sz="4" w:space="0"/>
              <w:bottom w:val="single" w:color="000000" w:sz="4" w:space="0"/>
              <w:right w:val="single" w:color="000000" w:sz="4" w:space="0"/>
            </w:tcBorders>
          </w:tcPr>
          <w:p>
            <w:pPr>
              <w:pStyle w:val="69"/>
              <w:spacing w:line="360" w:lineRule="auto"/>
              <w:rPr>
                <w:b/>
                <w:color w:val="000000" w:themeColor="text1"/>
                <w:sz w:val="21"/>
                <w:szCs w:val="21"/>
                <w14:textFill>
                  <w14:solidFill>
                    <w14:schemeClr w14:val="tx1"/>
                  </w14:solidFill>
                </w14:textFill>
              </w:rPr>
            </w:pPr>
          </w:p>
          <w:p>
            <w:pPr>
              <w:pStyle w:val="69"/>
              <w:spacing w:before="215" w:line="360" w:lineRule="auto"/>
              <w:ind w:left="5"/>
              <w:jc w:val="center"/>
              <w:rPr>
                <w:b/>
                <w:color w:val="000000" w:themeColor="text1"/>
                <w:sz w:val="21"/>
                <w:szCs w:val="21"/>
                <w:lang w:eastAsia="en-US"/>
                <w14:textFill>
                  <w14:solidFill>
                    <w14:schemeClr w14:val="tx1"/>
                  </w14:solidFill>
                </w14:textFill>
              </w:rPr>
            </w:pPr>
            <w:r>
              <w:rPr>
                <w:rFonts w:hint="eastAsia"/>
                <w:b/>
                <w:color w:val="000000" w:themeColor="text1"/>
                <w:sz w:val="21"/>
                <w:szCs w:val="21"/>
                <w:lang w:val="en-US" w:eastAsia="en-US"/>
                <w14:textFill>
                  <w14:solidFill>
                    <w14:schemeClr w14:val="tx1"/>
                  </w14:solidFill>
                </w14:textFill>
              </w:rPr>
              <w:t>备注说明</w:t>
            </w:r>
          </w:p>
        </w:tc>
        <w:tc>
          <w:tcPr>
            <w:tcW w:w="6064" w:type="dxa"/>
            <w:tcBorders>
              <w:top w:val="single" w:color="000000" w:sz="4" w:space="0"/>
              <w:left w:val="single" w:color="000000" w:sz="4" w:space="0"/>
              <w:bottom w:val="single" w:color="000000" w:sz="4" w:space="0"/>
              <w:right w:val="single" w:color="000000" w:sz="4" w:space="0"/>
            </w:tcBorders>
          </w:tcPr>
          <w:p>
            <w:pPr>
              <w:pStyle w:val="69"/>
              <w:spacing w:line="360" w:lineRule="auto"/>
              <w:rPr>
                <w:color w:val="000000" w:themeColor="text1"/>
                <w:sz w:val="21"/>
                <w:szCs w:val="21"/>
                <w:lang w:eastAsia="en-US"/>
                <w14:textFill>
                  <w14:solidFill>
                    <w14:schemeClr w14:val="tx1"/>
                  </w14:solidFill>
                </w14:textFill>
              </w:rPr>
            </w:pPr>
          </w:p>
        </w:tc>
      </w:tr>
    </w:tbl>
    <w:p>
      <w:pPr>
        <w:pStyle w:val="16"/>
        <w:tabs>
          <w:tab w:val="left" w:pos="6461"/>
          <w:tab w:val="left" w:pos="8556"/>
        </w:tabs>
        <w:spacing w:line="360" w:lineRule="auto"/>
        <w:ind w:left="5021" w:right="327"/>
        <w:rPr>
          <w:color w:val="000000" w:themeColor="text1"/>
          <w:sz w:val="21"/>
          <w:szCs w:val="21"/>
          <w:u w:val="single"/>
          <w:lang w:val="en-US"/>
          <w14:textFill>
            <w14:solidFill>
              <w14:schemeClr w14:val="tx1"/>
            </w14:solidFill>
          </w14:textFill>
        </w:rPr>
      </w:pPr>
      <w:r>
        <w:rPr>
          <w:rFonts w:hint="eastAsia"/>
          <w:color w:val="000000" w:themeColor="text1"/>
          <w:sz w:val="21"/>
          <w:szCs w:val="21"/>
          <w14:textFill>
            <w14:solidFill>
              <w14:schemeClr w14:val="tx1"/>
            </w14:solidFill>
          </w14:textFill>
        </w:rPr>
        <w:t>供应商签章：</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 xml:space="preserve">          </w:t>
      </w:r>
    </w:p>
    <w:p>
      <w:pPr>
        <w:spacing w:line="360" w:lineRule="auto"/>
        <w:ind w:firstLine="3370" w:firstLineChars="1605"/>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法定代表人或其委托代理人：</w:t>
      </w:r>
      <w:r>
        <w:rPr>
          <w:rFonts w:hint="eastAsia"/>
          <w:color w:val="000000" w:themeColor="text1"/>
          <w:sz w:val="21"/>
          <w:szCs w:val="21"/>
          <w:u w:val="single"/>
          <w14:textFill>
            <w14:solidFill>
              <w14:schemeClr w14:val="tx1"/>
            </w14:solidFill>
          </w14:textFill>
        </w:rPr>
        <w:t xml:space="preserve">（签字或盖章） </w:t>
      </w:r>
    </w:p>
    <w:p>
      <w:pPr>
        <w:pStyle w:val="16"/>
        <w:tabs>
          <w:tab w:val="left" w:pos="6465"/>
          <w:tab w:val="left" w:pos="8556"/>
        </w:tabs>
        <w:spacing w:line="360" w:lineRule="auto"/>
        <w:ind w:left="5021" w:right="327"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日</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期：</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lang w:val="en-US"/>
          <w14:textFill>
            <w14:solidFill>
              <w14:schemeClr w14:val="tx1"/>
            </w14:solidFill>
          </w14:textFill>
        </w:rPr>
        <w:t xml:space="preserve">          </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注：</w:t>
      </w:r>
    </w:p>
    <w:p>
      <w:pPr>
        <w:spacing w:line="360" w:lineRule="auto"/>
        <w:ind w:firstLine="422" w:firstLineChars="20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1.本表内容根据谈判文件要求包括了谈判文件要求提供的全部内容的所有费用。</w:t>
      </w:r>
    </w:p>
    <w:p>
      <w:pPr>
        <w:spacing w:line="360" w:lineRule="auto"/>
        <w:ind w:firstLine="422" w:firstLineChars="20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2.特殊事项在备注中注明。</w:t>
      </w:r>
    </w:p>
    <w:p>
      <w:pPr>
        <w:spacing w:line="360" w:lineRule="auto"/>
        <w:ind w:firstLine="422" w:firstLineChars="20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3.供应商应根据其响应文件中报价表的内容填写唱标信息，唱标信息不作为评审的依据。唱标信息与报价表不一致的，以报价表为准。</w:t>
      </w:r>
    </w:p>
    <w:p>
      <w:pPr>
        <w:spacing w:line="360" w:lineRule="auto"/>
        <w:ind w:firstLine="422" w:firstLineChars="20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4.投标人后期投标报价浮动率的计算按以下方式进行计算</w:t>
      </w:r>
    </w:p>
    <w:p>
      <w:pPr>
        <w:adjustRightInd w:val="0"/>
        <w:snapToGrid w:val="0"/>
        <w:spacing w:before="48" w:beforeLines="20" w:after="48" w:afterLines="20" w:line="360" w:lineRule="auto"/>
        <w:ind w:left="156" w:leftChars="71" w:firstLine="420" w:firstLineChars="200"/>
        <w:rPr>
          <w:rFonts w:cs="仿宋"/>
          <w:color w:val="000000" w:themeColor="text1"/>
          <w:sz w:val="21"/>
          <w:szCs w:val="21"/>
          <w14:textFill>
            <w14:solidFill>
              <w14:schemeClr w14:val="tx1"/>
            </w14:solidFill>
          </w14:textFill>
        </w:rPr>
      </w:pPr>
      <w:r>
        <w:rPr>
          <w:rFonts w:hint="eastAsia" w:cs="仿宋"/>
          <w:color w:val="000000" w:themeColor="text1"/>
          <w:sz w:val="21"/>
          <w:szCs w:val="21"/>
          <w14:textFill>
            <w14:solidFill>
              <w14:schemeClr w14:val="tx1"/>
            </w14:solidFill>
          </w14:textFill>
        </w:rPr>
        <w:t>投标报价浮动率 =【投标报价-（ 暂估价、暂列金额）】/【最高投标限价-（暂估价、暂列金额）】*100%（</w:t>
      </w:r>
      <w:r>
        <w:rPr>
          <w:rFonts w:hint="eastAsia"/>
          <w:b/>
          <w:bCs/>
          <w:color w:val="000000" w:themeColor="text1"/>
          <w:sz w:val="21"/>
          <w:szCs w:val="21"/>
          <w14:textFill>
            <w14:solidFill>
              <w14:schemeClr w14:val="tx1"/>
            </w14:solidFill>
          </w14:textFill>
        </w:rPr>
        <w:t>保留两位小数，小数点后第三位四舍五入</w:t>
      </w:r>
      <w:r>
        <w:rPr>
          <w:rFonts w:hint="eastAsia" w:cs="仿宋"/>
          <w:color w:val="000000" w:themeColor="text1"/>
          <w:sz w:val="21"/>
          <w:szCs w:val="21"/>
          <w14:textFill>
            <w14:solidFill>
              <w14:schemeClr w14:val="tx1"/>
            </w14:solidFill>
          </w14:textFill>
        </w:rPr>
        <w:t>）</w:t>
      </w:r>
    </w:p>
    <w:p>
      <w:pPr>
        <w:widowControl/>
        <w:autoSpaceDE/>
        <w:autoSpaceDN/>
        <w:spacing w:line="360" w:lineRule="auto"/>
        <w:rPr>
          <w:color w:val="000000" w:themeColor="text1"/>
          <w:sz w:val="21"/>
          <w:szCs w:val="21"/>
          <w14:textFill>
            <w14:solidFill>
              <w14:schemeClr w14:val="tx1"/>
            </w14:solidFill>
          </w14:textFill>
        </w:rPr>
        <w:sectPr>
          <w:pgSz w:w="11910" w:h="16840"/>
          <w:pgMar w:top="1380" w:right="1440" w:bottom="1580" w:left="1580" w:header="890" w:footer="1363" w:gutter="0"/>
          <w:cols w:space="720" w:num="1"/>
        </w:sectPr>
      </w:pPr>
    </w:p>
    <w:p>
      <w:pPr>
        <w:pStyle w:val="6"/>
        <w:keepNext w:val="0"/>
        <w:keepLines w:val="0"/>
        <w:numPr>
          <w:ilvl w:val="1"/>
          <w:numId w:val="17"/>
        </w:numPr>
        <w:tabs>
          <w:tab w:val="left" w:pos="706"/>
        </w:tabs>
        <w:spacing w:before="60" w:after="0" w:line="360" w:lineRule="auto"/>
        <w:ind w:hanging="486"/>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投标报价书</w:t>
      </w:r>
    </w:p>
    <w:p>
      <w:pPr>
        <w:pStyle w:val="16"/>
        <w:spacing w:line="360" w:lineRule="auto"/>
        <w:rPr>
          <w:b/>
          <w:color w:val="000000" w:themeColor="text1"/>
          <w:sz w:val="21"/>
          <w:szCs w:val="21"/>
          <w14:textFill>
            <w14:solidFill>
              <w14:schemeClr w14:val="tx1"/>
            </w14:solidFill>
          </w14:textFill>
        </w:rPr>
      </w:pPr>
    </w:p>
    <w:p>
      <w:pPr>
        <w:pStyle w:val="16"/>
        <w:spacing w:line="360" w:lineRule="auto"/>
        <w:rPr>
          <w:b/>
          <w:color w:val="000000" w:themeColor="text1"/>
          <w:sz w:val="21"/>
          <w:szCs w:val="21"/>
          <w14:textFill>
            <w14:solidFill>
              <w14:schemeClr w14:val="tx1"/>
            </w14:solidFill>
          </w14:textFill>
        </w:rPr>
      </w:pPr>
    </w:p>
    <w:p>
      <w:pPr>
        <w:spacing w:line="360" w:lineRule="auto"/>
        <w:jc w:val="center"/>
        <w:rPr>
          <w:b/>
          <w:bCs/>
          <w:color w:val="000000" w:themeColor="text1"/>
          <w:sz w:val="21"/>
          <w:szCs w:val="21"/>
          <w14:textFill>
            <w14:solidFill>
              <w14:schemeClr w14:val="tx1"/>
            </w14:solidFill>
          </w14:textFill>
        </w:rPr>
      </w:pPr>
      <w:r>
        <w:rPr>
          <w:rFonts w:hint="eastAsia" w:cs="楷体_GB2312"/>
          <w:b/>
          <w:bCs/>
          <w:color w:val="000000" w:themeColor="text1"/>
          <w:sz w:val="21"/>
          <w:szCs w:val="21"/>
          <w14:textFill>
            <w14:solidFill>
              <w14:schemeClr w14:val="tx1"/>
            </w14:solidFill>
          </w14:textFill>
        </w:rPr>
        <w:t>投  标  总  价</w:t>
      </w:r>
      <w:r>
        <w:rPr>
          <w:rFonts w:hint="eastAsia"/>
          <w:b/>
          <w:bCs/>
          <w:color w:val="000000" w:themeColor="text1"/>
          <w:sz w:val="21"/>
          <w:szCs w:val="21"/>
          <w14:textFill>
            <w14:solidFill>
              <w14:schemeClr w14:val="tx1"/>
            </w14:solidFill>
          </w14:textFill>
        </w:rPr>
        <w:t xml:space="preserve"> </w:t>
      </w:r>
    </w:p>
    <w:p>
      <w:pPr>
        <w:spacing w:line="360" w:lineRule="auto"/>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 </w:t>
      </w:r>
    </w:p>
    <w:p>
      <w:pPr>
        <w:spacing w:line="360" w:lineRule="auto"/>
        <w:rPr>
          <w:color w:val="000000" w:themeColor="text1"/>
          <w:sz w:val="21"/>
          <w:szCs w:val="21"/>
          <w14:textFill>
            <w14:solidFill>
              <w14:schemeClr w14:val="tx1"/>
            </w14:solidFill>
          </w14:textFill>
        </w:rPr>
      </w:pPr>
    </w:p>
    <w:p>
      <w:pPr>
        <w:spacing w:line="360" w:lineRule="auto"/>
        <w:ind w:firstLine="315" w:firstLineChars="15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工程名称：</w:t>
      </w:r>
      <w:r>
        <w:rPr>
          <w:rFonts w:hint="eastAsia"/>
          <w:color w:val="000000" w:themeColor="text1"/>
          <w:sz w:val="21"/>
          <w:szCs w:val="21"/>
          <w:u w:val="single"/>
          <w14:textFill>
            <w14:solidFill>
              <w14:schemeClr w14:val="tx1"/>
            </w14:solidFill>
          </w14:textFill>
        </w:rPr>
        <w:t xml:space="preserve">                                                  </w:t>
      </w:r>
    </w:p>
    <w:p>
      <w:pPr>
        <w:spacing w:line="360" w:lineRule="auto"/>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w:t>
      </w:r>
    </w:p>
    <w:p>
      <w:pPr>
        <w:spacing w:line="360" w:lineRule="auto"/>
        <w:ind w:firstLine="315" w:firstLineChars="15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投标总价（大写）：</w:t>
      </w:r>
      <w:r>
        <w:rPr>
          <w:rFonts w:hint="eastAsia"/>
          <w:color w:val="000000" w:themeColor="text1"/>
          <w:sz w:val="21"/>
          <w:szCs w:val="21"/>
          <w:u w:val="single"/>
          <w14:textFill>
            <w14:solidFill>
              <w14:schemeClr w14:val="tx1"/>
            </w14:solidFill>
          </w14:textFill>
        </w:rPr>
        <w:t xml:space="preserve">                              （以元为单位）</w:t>
      </w:r>
    </w:p>
    <w:p>
      <w:pPr>
        <w:pStyle w:val="72"/>
        <w:spacing w:line="360" w:lineRule="auto"/>
        <w:ind w:left="66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pPr>
        <w:spacing w:line="360" w:lineRule="auto"/>
        <w:rPr>
          <w:color w:val="000000" w:themeColor="text1"/>
          <w:sz w:val="21"/>
          <w:szCs w:val="21"/>
          <w14:textFill>
            <w14:solidFill>
              <w14:schemeClr w14:val="tx1"/>
            </w14:solidFill>
          </w14:textFill>
        </w:rPr>
      </w:pPr>
    </w:p>
    <w:p>
      <w:pPr>
        <w:spacing w:line="360" w:lineRule="auto"/>
        <w:ind w:firstLine="315" w:firstLineChars="15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  标  人：</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（单位盖章）</w:t>
      </w: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w:t>
      </w: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法定代表人</w:t>
      </w:r>
    </w:p>
    <w:p>
      <w:pPr>
        <w:spacing w:line="360" w:lineRule="auto"/>
        <w:ind w:firstLine="315" w:firstLineChars="15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或其委托代理人：</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（签字或盖章） </w:t>
      </w: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w:t>
      </w:r>
    </w:p>
    <w:p>
      <w:pPr>
        <w:spacing w:line="360" w:lineRule="auto"/>
        <w:rPr>
          <w:color w:val="000000" w:themeColor="text1"/>
          <w:sz w:val="21"/>
          <w:szCs w:val="21"/>
          <w14:textFill>
            <w14:solidFill>
              <w14:schemeClr w14:val="tx1"/>
            </w14:solidFill>
          </w14:textFill>
        </w:rPr>
      </w:pPr>
    </w:p>
    <w:p>
      <w:pPr>
        <w:spacing w:line="360" w:lineRule="auto"/>
        <w:ind w:firstLine="315" w:firstLineChars="150"/>
        <w:rPr>
          <w:color w:val="000000" w:themeColor="text1"/>
          <w:sz w:val="21"/>
          <w:szCs w:val="21"/>
          <w14:textFill>
            <w14:solidFill>
              <w14:schemeClr w14:val="tx1"/>
            </w14:solidFill>
          </w14:textFill>
        </w:rPr>
      </w:pPr>
    </w:p>
    <w:p>
      <w:pPr>
        <w:spacing w:line="360" w:lineRule="auto"/>
        <w:jc w:val="right"/>
        <w:rPr>
          <w:color w:val="000000" w:themeColor="text1"/>
          <w:sz w:val="21"/>
          <w:szCs w:val="21"/>
          <w14:textFill>
            <w14:solidFill>
              <w14:schemeClr w14:val="tx1"/>
            </w14:solidFill>
          </w14:textFill>
        </w:rPr>
      </w:pPr>
    </w:p>
    <w:p>
      <w:pPr>
        <w:adjustRightInd w:val="0"/>
        <w:snapToGrid w:val="0"/>
        <w:spacing w:before="48" w:beforeLines="20" w:after="48" w:afterLines="20" w:line="360" w:lineRule="auto"/>
        <w:ind w:firstLine="268" w:firstLineChars="128"/>
        <w:jc w:val="righ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编制时间：</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年</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月</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日</w:t>
      </w:r>
    </w:p>
    <w:p>
      <w:pPr>
        <w:adjustRightInd w:val="0"/>
        <w:snapToGrid w:val="0"/>
        <w:spacing w:before="48" w:beforeLines="20" w:after="48" w:afterLines="20" w:line="360" w:lineRule="auto"/>
        <w:ind w:firstLine="270" w:firstLineChars="128"/>
        <w:rPr>
          <w:b/>
          <w:bCs/>
          <w:color w:val="000000" w:themeColor="text1"/>
          <w:sz w:val="21"/>
          <w:szCs w:val="21"/>
          <w14:textFill>
            <w14:solidFill>
              <w14:schemeClr w14:val="tx1"/>
            </w14:solidFill>
          </w14:textFill>
        </w:rPr>
      </w:pPr>
    </w:p>
    <w:p>
      <w:pPr>
        <w:adjustRightInd w:val="0"/>
        <w:snapToGrid w:val="0"/>
        <w:spacing w:line="360" w:lineRule="auto"/>
        <w:rPr>
          <w:rFonts w:cs="仿宋"/>
          <w:color w:val="000000" w:themeColor="text1"/>
          <w:sz w:val="21"/>
          <w:szCs w:val="21"/>
          <w14:textFill>
            <w14:solidFill>
              <w14:schemeClr w14:val="tx1"/>
            </w14:solidFill>
          </w14:textFill>
        </w:rPr>
      </w:pPr>
    </w:p>
    <w:p>
      <w:pPr>
        <w:adjustRightInd w:val="0"/>
        <w:snapToGrid w:val="0"/>
        <w:spacing w:line="360" w:lineRule="auto"/>
        <w:rPr>
          <w:rFonts w:cs="仿宋"/>
          <w:color w:val="000000" w:themeColor="text1"/>
          <w:sz w:val="21"/>
          <w:szCs w:val="21"/>
          <w14:textFill>
            <w14:solidFill>
              <w14:schemeClr w14:val="tx1"/>
            </w14:solidFill>
          </w14:textFill>
        </w:rPr>
      </w:pPr>
    </w:p>
    <w:p>
      <w:pPr>
        <w:adjustRightInd w:val="0"/>
        <w:snapToGrid w:val="0"/>
        <w:spacing w:line="360" w:lineRule="auto"/>
        <w:rPr>
          <w:rFonts w:cs="仿宋"/>
          <w:color w:val="000000" w:themeColor="text1"/>
          <w:sz w:val="21"/>
          <w:szCs w:val="21"/>
          <w14:textFill>
            <w14:solidFill>
              <w14:schemeClr w14:val="tx1"/>
            </w14:solidFill>
          </w14:textFill>
        </w:rPr>
      </w:pPr>
    </w:p>
    <w:p>
      <w:pPr>
        <w:adjustRightInd w:val="0"/>
        <w:snapToGrid w:val="0"/>
        <w:spacing w:before="48" w:beforeLines="20" w:after="48" w:afterLines="20" w:line="360" w:lineRule="auto"/>
        <w:ind w:left="156" w:leftChars="71"/>
        <w:rPr>
          <w:rFonts w:cs="仿宋"/>
          <w:b/>
          <w:color w:val="000000" w:themeColor="text1"/>
          <w:sz w:val="21"/>
          <w:szCs w:val="21"/>
          <w14:textFill>
            <w14:solidFill>
              <w14:schemeClr w14:val="tx1"/>
            </w14:solidFill>
          </w14:textFill>
        </w:rPr>
      </w:pPr>
      <w:r>
        <w:rPr>
          <w:rFonts w:hint="eastAsia" w:cs="仿宋"/>
          <w:b/>
          <w:color w:val="000000" w:themeColor="text1"/>
          <w:sz w:val="21"/>
          <w:szCs w:val="21"/>
          <w14:textFill>
            <w14:solidFill>
              <w14:schemeClr w14:val="tx1"/>
            </w14:solidFill>
          </w14:textFill>
        </w:rPr>
        <w:t>投标人后期投标报价浮动率的计算按以下方式进行计算</w:t>
      </w:r>
    </w:p>
    <w:p>
      <w:pPr>
        <w:adjustRightInd w:val="0"/>
        <w:snapToGrid w:val="0"/>
        <w:spacing w:before="48" w:beforeLines="20" w:after="48" w:afterLines="20" w:line="360" w:lineRule="auto"/>
        <w:ind w:left="156" w:leftChars="71" w:firstLine="420" w:firstLineChars="200"/>
        <w:rPr>
          <w:rFonts w:cs="仿宋"/>
          <w:color w:val="000000" w:themeColor="text1"/>
          <w:sz w:val="21"/>
          <w:szCs w:val="21"/>
          <w14:textFill>
            <w14:solidFill>
              <w14:schemeClr w14:val="tx1"/>
            </w14:solidFill>
          </w14:textFill>
        </w:rPr>
      </w:pPr>
      <w:r>
        <w:rPr>
          <w:rFonts w:hint="eastAsia" w:cs="仿宋"/>
          <w:color w:val="000000" w:themeColor="text1"/>
          <w:sz w:val="21"/>
          <w:szCs w:val="21"/>
          <w14:textFill>
            <w14:solidFill>
              <w14:schemeClr w14:val="tx1"/>
            </w14:solidFill>
          </w14:textFill>
        </w:rPr>
        <w:t>投标报价浮动率 =【投标报价-（ 暂估价、暂列金额）】/【最高投标限价-（暂估价、暂列金额）】*100%（</w:t>
      </w:r>
      <w:r>
        <w:rPr>
          <w:rFonts w:hint="eastAsia"/>
          <w:b/>
          <w:bCs/>
          <w:color w:val="000000" w:themeColor="text1"/>
          <w:sz w:val="21"/>
          <w:szCs w:val="21"/>
          <w14:textFill>
            <w14:solidFill>
              <w14:schemeClr w14:val="tx1"/>
            </w14:solidFill>
          </w14:textFill>
        </w:rPr>
        <w:t>保留两位小数，小数点后第三位四舍五入</w:t>
      </w:r>
      <w:r>
        <w:rPr>
          <w:rFonts w:hint="eastAsia" w:cs="仿宋"/>
          <w:color w:val="000000" w:themeColor="text1"/>
          <w:sz w:val="21"/>
          <w:szCs w:val="21"/>
          <w14:textFill>
            <w14:solidFill>
              <w14:schemeClr w14:val="tx1"/>
            </w14:solidFill>
          </w14:textFill>
        </w:rPr>
        <w:t>）</w:t>
      </w:r>
    </w:p>
    <w:p>
      <w:pPr>
        <w:adjustRightInd w:val="0"/>
        <w:snapToGrid w:val="0"/>
        <w:spacing w:before="48" w:beforeLines="20" w:after="48" w:afterLines="20" w:line="360" w:lineRule="auto"/>
        <w:ind w:left="156" w:leftChars="71"/>
        <w:rPr>
          <w:rFonts w:cs="仿宋"/>
          <w:b/>
          <w:color w:val="000000" w:themeColor="text1"/>
          <w:sz w:val="21"/>
          <w:szCs w:val="21"/>
          <w14:textFill>
            <w14:solidFill>
              <w14:schemeClr w14:val="tx1"/>
            </w14:solidFill>
          </w14:textFill>
        </w:rPr>
      </w:pPr>
    </w:p>
    <w:p>
      <w:pPr>
        <w:adjustRightInd w:val="0"/>
        <w:snapToGrid w:val="0"/>
        <w:spacing w:before="48" w:beforeLines="20" w:after="48" w:afterLines="20" w:line="360" w:lineRule="auto"/>
        <w:ind w:left="156" w:leftChars="71"/>
        <w:rPr>
          <w:b/>
          <w:bCs/>
          <w:color w:val="000000" w:themeColor="text1"/>
          <w:sz w:val="21"/>
          <w:szCs w:val="21"/>
          <w14:textFill>
            <w14:solidFill>
              <w14:schemeClr w14:val="tx1"/>
            </w14:solidFill>
          </w14:textFill>
        </w:rPr>
      </w:pPr>
    </w:p>
    <w:p>
      <w:pPr>
        <w:adjustRightInd w:val="0"/>
        <w:snapToGrid w:val="0"/>
        <w:spacing w:before="48" w:beforeLines="20" w:after="48" w:afterLines="20" w:line="360" w:lineRule="auto"/>
        <w:ind w:firstLine="270" w:firstLineChars="128"/>
        <w:rPr>
          <w:b/>
          <w:bCs/>
          <w:color w:val="000000" w:themeColor="text1"/>
          <w:sz w:val="21"/>
          <w:szCs w:val="21"/>
          <w14:textFill>
            <w14:solidFill>
              <w14:schemeClr w14:val="tx1"/>
            </w14:solidFill>
          </w14:textFill>
        </w:rPr>
      </w:pPr>
    </w:p>
    <w:p>
      <w:pPr>
        <w:adjustRightInd w:val="0"/>
        <w:snapToGrid w:val="0"/>
        <w:spacing w:before="48" w:beforeLines="20" w:after="48" w:afterLines="20" w:line="360" w:lineRule="auto"/>
        <w:ind w:firstLine="270" w:firstLineChars="128"/>
        <w:rPr>
          <w:b/>
          <w:bCs/>
          <w:color w:val="000000" w:themeColor="text1"/>
          <w:sz w:val="21"/>
          <w:szCs w:val="21"/>
          <w14:textFill>
            <w14:solidFill>
              <w14:schemeClr w14:val="tx1"/>
            </w14:solidFill>
          </w14:textFill>
        </w:rPr>
      </w:pPr>
    </w:p>
    <w:p>
      <w:pPr>
        <w:widowControl/>
        <w:autoSpaceDE/>
        <w:autoSpaceDN/>
        <w:spacing w:line="360" w:lineRule="auto"/>
        <w:rPr>
          <w:color w:val="000000" w:themeColor="text1"/>
          <w:sz w:val="21"/>
          <w:szCs w:val="21"/>
          <w14:textFill>
            <w14:solidFill>
              <w14:schemeClr w14:val="tx1"/>
            </w14:solidFill>
          </w14:textFill>
        </w:rPr>
        <w:sectPr>
          <w:pgSz w:w="11910" w:h="16840"/>
          <w:pgMar w:top="1380" w:right="1440" w:bottom="1580" w:left="1580" w:header="890" w:footer="1363" w:gutter="0"/>
          <w:cols w:space="720" w:num="1"/>
        </w:sectPr>
      </w:pPr>
    </w:p>
    <w:p>
      <w:pPr>
        <w:pStyle w:val="5"/>
        <w:keepNext w:val="0"/>
        <w:keepLines w:val="0"/>
        <w:autoSpaceDE w:val="0"/>
        <w:autoSpaceDN w:val="0"/>
        <w:spacing w:before="0" w:after="0" w:line="240" w:lineRule="auto"/>
        <w:jc w:val="center"/>
        <w:rPr>
          <w:rFonts w:ascii="宋体" w:hAnsi="宋体" w:cs="宋体"/>
          <w:color w:val="000000" w:themeColor="text1"/>
          <w:sz w:val="24"/>
          <w:szCs w:val="24"/>
          <w:lang w:bidi="zh-CN"/>
          <w14:textFill>
            <w14:solidFill>
              <w14:schemeClr w14:val="tx1"/>
            </w14:solidFill>
          </w14:textFill>
        </w:rPr>
      </w:pPr>
      <w:r>
        <w:rPr>
          <w:rFonts w:hint="eastAsia" w:ascii="宋体" w:hAnsi="宋体" w:cs="宋体"/>
          <w:color w:val="000000" w:themeColor="text1"/>
          <w:sz w:val="24"/>
          <w:szCs w:val="24"/>
          <w:lang w:bidi="zh-CN"/>
          <w14:textFill>
            <w14:solidFill>
              <w14:schemeClr w14:val="tx1"/>
            </w14:solidFill>
          </w14:textFill>
        </w:rPr>
        <w:t>二、最后承诺报价表</w:t>
      </w:r>
    </w:p>
    <w:p>
      <w:pPr>
        <w:spacing w:before="240" w:beforeLines="100" w:after="240" w:afterLines="100"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（某项目第</w:t>
      </w:r>
      <w:r>
        <w:rPr>
          <w:rFonts w:hint="eastAsia"/>
          <w:b/>
          <w:color w:val="000000" w:themeColor="text1"/>
          <w:sz w:val="24"/>
          <w:szCs w:val="24"/>
          <w14:textFill>
            <w14:solidFill>
              <w14:schemeClr w14:val="tx1"/>
            </w14:solidFill>
          </w14:textFill>
        </w:rPr>
        <w:tab/>
      </w:r>
      <w:r>
        <w:rPr>
          <w:b/>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次报价书）</w:t>
      </w:r>
    </w:p>
    <w:p>
      <w:pPr>
        <w:spacing w:line="360" w:lineRule="auto"/>
        <w:ind w:firstLine="211" w:firstLineChars="10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项目名称：</w:t>
      </w:r>
      <w:r>
        <w:rPr>
          <w:rFonts w:hint="eastAsia"/>
          <w:b/>
          <w:color w:val="000000" w:themeColor="text1"/>
          <w:sz w:val="21"/>
          <w:szCs w:val="21"/>
          <w:u w:val="single"/>
          <w14:textFill>
            <w14:solidFill>
              <w14:schemeClr w14:val="tx1"/>
            </w14:solidFill>
          </w14:textFill>
        </w:rPr>
        <w:t xml:space="preserve">   </w:t>
      </w:r>
      <w:r>
        <w:rPr>
          <w:rFonts w:hint="eastAsia"/>
          <w:b/>
          <w:color w:val="000000" w:themeColor="text1"/>
          <w:sz w:val="21"/>
          <w:szCs w:val="21"/>
          <w:u w:val="single"/>
          <w14:textFill>
            <w14:solidFill>
              <w14:schemeClr w14:val="tx1"/>
            </w14:solidFill>
          </w14:textFill>
        </w:rPr>
        <w:tab/>
      </w:r>
      <w:r>
        <w:rPr>
          <w:rFonts w:hint="eastAsia"/>
          <w:b/>
          <w:color w:val="000000" w:themeColor="text1"/>
          <w:sz w:val="21"/>
          <w:szCs w:val="21"/>
          <w:u w:val="single"/>
          <w14:textFill>
            <w14:solidFill>
              <w14:schemeClr w14:val="tx1"/>
            </w14:solidFill>
          </w14:textFill>
        </w:rPr>
        <w:t xml:space="preserve">                 </w:t>
      </w:r>
    </w:p>
    <w:p>
      <w:pPr>
        <w:spacing w:line="360" w:lineRule="auto"/>
        <w:ind w:firstLine="211" w:firstLineChars="100"/>
        <w:rPr>
          <w:b/>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项目编号：</w:t>
      </w:r>
      <w:r>
        <w:rPr>
          <w:rFonts w:hint="eastAsia"/>
          <w:b/>
          <w:color w:val="000000" w:themeColor="text1"/>
          <w:sz w:val="21"/>
          <w:szCs w:val="21"/>
          <w:u w:val="single"/>
          <w14:textFill>
            <w14:solidFill>
              <w14:schemeClr w14:val="tx1"/>
            </w14:solidFill>
          </w14:textFill>
        </w:rPr>
        <w:t xml:space="preserve">   </w:t>
      </w:r>
      <w:r>
        <w:rPr>
          <w:rFonts w:hint="eastAsia"/>
          <w:b/>
          <w:color w:val="000000" w:themeColor="text1"/>
          <w:sz w:val="21"/>
          <w:szCs w:val="21"/>
          <w:u w:val="single"/>
          <w14:textFill>
            <w14:solidFill>
              <w14:schemeClr w14:val="tx1"/>
            </w14:solidFill>
          </w14:textFill>
        </w:rPr>
        <w:tab/>
      </w:r>
      <w:r>
        <w:rPr>
          <w:rFonts w:hint="eastAsia"/>
          <w:b/>
          <w:color w:val="000000" w:themeColor="text1"/>
          <w:sz w:val="21"/>
          <w:szCs w:val="21"/>
          <w:u w:val="single"/>
          <w14:textFill>
            <w14:solidFill>
              <w14:schemeClr w14:val="tx1"/>
            </w14:solidFill>
          </w14:textFill>
        </w:rPr>
        <w:t xml:space="preserve">                 </w:t>
      </w:r>
    </w:p>
    <w:p>
      <w:pPr>
        <w:spacing w:line="360" w:lineRule="auto"/>
        <w:ind w:firstLine="211" w:firstLineChars="100"/>
        <w:rPr>
          <w:b/>
          <w:color w:val="000000" w:themeColor="text1"/>
          <w:sz w:val="21"/>
          <w:szCs w:val="21"/>
          <w:u w:val="single"/>
          <w14:textFill>
            <w14:solidFill>
              <w14:schemeClr w14:val="tx1"/>
            </w14:solidFill>
          </w14:textFill>
        </w:rPr>
      </w:pPr>
    </w:p>
    <w:tbl>
      <w:tblPr>
        <w:tblStyle w:val="3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73"/>
        <w:gridCol w:w="5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2573" w:type="dxa"/>
            <w:tcBorders>
              <w:top w:val="single" w:color="000000" w:sz="4" w:space="0"/>
              <w:left w:val="single" w:color="000000" w:sz="4" w:space="0"/>
              <w:bottom w:val="single" w:color="000000" w:sz="4" w:space="0"/>
              <w:right w:val="single" w:color="000000" w:sz="4" w:space="0"/>
            </w:tcBorders>
          </w:tcPr>
          <w:p>
            <w:pPr>
              <w:pStyle w:val="69"/>
              <w:spacing w:before="177" w:line="360" w:lineRule="auto"/>
              <w:ind w:left="8"/>
              <w:jc w:val="center"/>
              <w:rPr>
                <w:b/>
                <w:color w:val="000000" w:themeColor="text1"/>
                <w:sz w:val="21"/>
                <w:szCs w:val="21"/>
                <w:lang w:eastAsia="en-US"/>
                <w14:textFill>
                  <w14:solidFill>
                    <w14:schemeClr w14:val="tx1"/>
                  </w14:solidFill>
                </w14:textFill>
              </w:rPr>
            </w:pPr>
            <w:r>
              <w:rPr>
                <w:rFonts w:hint="eastAsia"/>
                <w:b/>
                <w:color w:val="000000" w:themeColor="text1"/>
                <w:sz w:val="21"/>
                <w:szCs w:val="21"/>
                <w:lang w:val="en-US" w:eastAsia="en-US"/>
                <w14:textFill>
                  <w14:solidFill>
                    <w14:schemeClr w14:val="tx1"/>
                  </w14:solidFill>
                </w14:textFill>
              </w:rPr>
              <w:t>供应商名称</w:t>
            </w:r>
          </w:p>
        </w:tc>
        <w:tc>
          <w:tcPr>
            <w:tcW w:w="5950" w:type="dxa"/>
            <w:tcBorders>
              <w:top w:val="single" w:color="000000" w:sz="4" w:space="0"/>
              <w:left w:val="single" w:color="000000" w:sz="4" w:space="0"/>
              <w:bottom w:val="single" w:color="000000" w:sz="4" w:space="0"/>
              <w:right w:val="single" w:color="000000" w:sz="4" w:space="0"/>
            </w:tcBorders>
          </w:tcPr>
          <w:p>
            <w:pPr>
              <w:pStyle w:val="69"/>
              <w:spacing w:line="360" w:lineRule="auto"/>
              <w:rPr>
                <w:color w:val="000000" w:themeColor="text1"/>
                <w:sz w:val="21"/>
                <w:szCs w:val="21"/>
                <w:lang w:eastAsia="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2573" w:type="dxa"/>
            <w:tcBorders>
              <w:top w:val="single" w:color="000000" w:sz="4" w:space="0"/>
              <w:left w:val="single" w:color="000000" w:sz="4" w:space="0"/>
              <w:bottom w:val="single" w:color="000000" w:sz="4" w:space="0"/>
              <w:right w:val="single" w:color="000000" w:sz="4" w:space="0"/>
            </w:tcBorders>
          </w:tcPr>
          <w:p>
            <w:pPr>
              <w:pStyle w:val="69"/>
              <w:spacing w:before="2" w:line="360" w:lineRule="auto"/>
              <w:rPr>
                <w:b/>
                <w:color w:val="000000" w:themeColor="text1"/>
                <w:sz w:val="21"/>
                <w:szCs w:val="21"/>
                <w:lang w:eastAsia="en-US"/>
                <w14:textFill>
                  <w14:solidFill>
                    <w14:schemeClr w14:val="tx1"/>
                  </w14:solidFill>
                </w14:textFill>
              </w:rPr>
            </w:pPr>
          </w:p>
          <w:p>
            <w:pPr>
              <w:pStyle w:val="69"/>
              <w:spacing w:line="360" w:lineRule="auto"/>
              <w:ind w:left="11"/>
              <w:jc w:val="center"/>
              <w:rPr>
                <w:b/>
                <w:color w:val="000000" w:themeColor="text1"/>
                <w:sz w:val="21"/>
                <w:szCs w:val="21"/>
                <w:lang w:eastAsia="en-US"/>
                <w14:textFill>
                  <w14:solidFill>
                    <w14:schemeClr w14:val="tx1"/>
                  </w14:solidFill>
                </w14:textFill>
              </w:rPr>
            </w:pPr>
            <w:r>
              <w:rPr>
                <w:rFonts w:hint="eastAsia"/>
                <w:b/>
                <w:color w:val="000000" w:themeColor="text1"/>
                <w:sz w:val="21"/>
                <w:szCs w:val="21"/>
                <w:lang w:val="en-US" w:eastAsia="en-US"/>
                <w14:textFill>
                  <w14:solidFill>
                    <w14:schemeClr w14:val="tx1"/>
                  </w14:solidFill>
                </w14:textFill>
              </w:rPr>
              <w:t>谈判范围</w:t>
            </w:r>
          </w:p>
        </w:tc>
        <w:tc>
          <w:tcPr>
            <w:tcW w:w="5950" w:type="dxa"/>
            <w:tcBorders>
              <w:top w:val="single" w:color="000000" w:sz="4" w:space="0"/>
              <w:left w:val="single" w:color="000000" w:sz="4" w:space="0"/>
              <w:bottom w:val="single" w:color="000000" w:sz="4" w:space="0"/>
              <w:right w:val="single" w:color="000000" w:sz="4" w:space="0"/>
            </w:tcBorders>
          </w:tcPr>
          <w:p>
            <w:pPr>
              <w:pStyle w:val="69"/>
              <w:tabs>
                <w:tab w:val="left" w:pos="1548"/>
              </w:tabs>
              <w:spacing w:before="233" w:line="360" w:lineRule="auto"/>
              <w:ind w:left="108"/>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全部</w:t>
            </w:r>
            <w:r>
              <w:rPr>
                <w:rFonts w:hint="eastAsia"/>
                <w:color w:val="000000" w:themeColor="text1"/>
                <w:sz w:val="21"/>
                <w:szCs w:val="21"/>
                <w:lang w:eastAsia="en-US"/>
                <w14:textFill>
                  <w14:solidFill>
                    <w14:schemeClr w14:val="tx1"/>
                  </w14:solidFill>
                </w14:textFill>
              </w:rPr>
              <w:t xml:space="preserve"> / </w:t>
            </w:r>
            <w:r>
              <w:rPr>
                <w:rFonts w:hint="eastAsia"/>
                <w:color w:val="000000" w:themeColor="text1"/>
                <w:sz w:val="21"/>
                <w:szCs w:val="21"/>
                <w:lang w:val="en-US" w:eastAsia="en-US"/>
                <w14:textFill>
                  <w14:solidFill>
                    <w14:schemeClr w14:val="tx1"/>
                  </w14:solidFill>
                </w14:textFill>
              </w:rPr>
              <w:t>第</w:t>
            </w:r>
            <w:r>
              <w:rPr>
                <w:rFonts w:hint="eastAsia"/>
                <w:color w:val="000000" w:themeColor="text1"/>
                <w:sz w:val="21"/>
                <w:szCs w:val="21"/>
                <w:u w:val="single"/>
                <w:lang w:eastAsia="en-US"/>
                <w14:textFill>
                  <w14:solidFill>
                    <w14:schemeClr w14:val="tx1"/>
                  </w14:solidFill>
                </w14:textFill>
              </w:rPr>
              <w:t xml:space="preserve"> </w:t>
            </w:r>
            <w:r>
              <w:rPr>
                <w:rFonts w:hint="eastAsia"/>
                <w:color w:val="000000" w:themeColor="text1"/>
                <w:sz w:val="21"/>
                <w:szCs w:val="21"/>
                <w:u w:val="single"/>
                <w:lang w:eastAsia="en-US"/>
                <w14:textFill>
                  <w14:solidFill>
                    <w14:schemeClr w14:val="tx1"/>
                  </w14:solidFill>
                </w14:textFill>
              </w:rPr>
              <w:tab/>
            </w:r>
            <w:r>
              <w:rPr>
                <w:rFonts w:hint="eastAsia"/>
                <w:color w:val="000000" w:themeColor="text1"/>
                <w:sz w:val="21"/>
                <w:szCs w:val="21"/>
                <w:lang w:val="en-US" w:eastAsia="en-US"/>
                <w14:textFill>
                  <w14:solidFill>
                    <w14:schemeClr w14:val="tx1"/>
                  </w14:solidFill>
                </w14:textFill>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573" w:type="dxa"/>
            <w:tcBorders>
              <w:top w:val="single" w:color="000000" w:sz="4" w:space="0"/>
              <w:left w:val="single" w:color="000000" w:sz="4" w:space="0"/>
              <w:bottom w:val="single" w:color="000000" w:sz="4" w:space="0"/>
              <w:right w:val="single" w:color="000000" w:sz="4" w:space="0"/>
            </w:tcBorders>
            <w:vAlign w:val="center"/>
          </w:tcPr>
          <w:p>
            <w:pPr>
              <w:pStyle w:val="69"/>
              <w:spacing w:before="7" w:line="360" w:lineRule="auto"/>
              <w:jc w:val="center"/>
              <w:rPr>
                <w:b/>
                <w:color w:val="000000" w:themeColor="text1"/>
                <w:sz w:val="21"/>
                <w:szCs w:val="21"/>
                <w:lang w:eastAsia="en-US"/>
                <w14:textFill>
                  <w14:solidFill>
                    <w14:schemeClr w14:val="tx1"/>
                  </w14:solidFill>
                </w14:textFill>
              </w:rPr>
            </w:pPr>
            <w:r>
              <w:rPr>
                <w:rFonts w:hint="eastAsia"/>
                <w:b/>
                <w:color w:val="000000" w:themeColor="text1"/>
                <w:sz w:val="21"/>
                <w:szCs w:val="21"/>
                <w:lang w:val="en-US" w:eastAsia="en-US"/>
                <w14:textFill>
                  <w14:solidFill>
                    <w14:schemeClr w14:val="tx1"/>
                  </w14:solidFill>
                </w14:textFill>
              </w:rPr>
              <w:t>谈判内容</w:t>
            </w:r>
          </w:p>
        </w:tc>
        <w:tc>
          <w:tcPr>
            <w:tcW w:w="5950" w:type="dxa"/>
            <w:tcBorders>
              <w:top w:val="single" w:color="000000" w:sz="4" w:space="0"/>
              <w:left w:val="single" w:color="000000" w:sz="4" w:space="0"/>
              <w:bottom w:val="single" w:color="000000" w:sz="4" w:space="0"/>
              <w:right w:val="single" w:color="000000" w:sz="4" w:space="0"/>
            </w:tcBorders>
            <w:vAlign w:val="center"/>
          </w:tcPr>
          <w:p>
            <w:pPr>
              <w:pStyle w:val="69"/>
              <w:spacing w:line="360" w:lineRule="auto"/>
              <w:jc w:val="center"/>
              <w:rPr>
                <w:b/>
                <w:color w:val="000000" w:themeColor="text1"/>
                <w:sz w:val="21"/>
                <w:szCs w:val="21"/>
                <w:lang w:eastAsia="en-US"/>
                <w14:textFill>
                  <w14:solidFill>
                    <w14:schemeClr w14:val="tx1"/>
                  </w14:solidFill>
                </w14:textFill>
              </w:rPr>
            </w:pPr>
            <w:r>
              <w:rPr>
                <w:rFonts w:hint="eastAsia"/>
                <w:b/>
                <w:color w:val="000000" w:themeColor="text1"/>
                <w:sz w:val="21"/>
                <w:szCs w:val="21"/>
                <w14:textFill>
                  <w14:solidFill>
                    <w14:schemeClr w14:val="tx1"/>
                  </w14:solidFill>
                </w14:textFill>
              </w:rPr>
              <w:t>（此内容由谈判小组根据项目需求据实填写，如不对原文件内容进行修改，此项填“无”。）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573" w:type="dxa"/>
            <w:tcBorders>
              <w:top w:val="single" w:color="000000" w:sz="4" w:space="0"/>
              <w:left w:val="single" w:color="000000" w:sz="4" w:space="0"/>
              <w:bottom w:val="single" w:color="000000" w:sz="4" w:space="0"/>
              <w:right w:val="single" w:color="000000" w:sz="4" w:space="0"/>
            </w:tcBorders>
          </w:tcPr>
          <w:p>
            <w:pPr>
              <w:pStyle w:val="69"/>
              <w:spacing w:before="120" w:beforeLines="50" w:line="360" w:lineRule="auto"/>
              <w:ind w:left="6"/>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最后报价</w:t>
            </w:r>
          </w:p>
          <w:p>
            <w:pPr>
              <w:pStyle w:val="69"/>
              <w:spacing w:before="82" w:line="360" w:lineRule="auto"/>
              <w:ind w:left="6"/>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（详见备注说明）</w:t>
            </w:r>
          </w:p>
        </w:tc>
        <w:tc>
          <w:tcPr>
            <w:tcW w:w="5950" w:type="dxa"/>
            <w:tcBorders>
              <w:top w:val="single" w:color="000000" w:sz="4" w:space="0"/>
              <w:left w:val="single" w:color="000000" w:sz="4" w:space="0"/>
              <w:bottom w:val="single" w:color="000000" w:sz="4" w:space="0"/>
              <w:right w:val="single" w:color="000000" w:sz="4" w:space="0"/>
            </w:tcBorders>
          </w:tcPr>
          <w:p>
            <w:pPr>
              <w:pStyle w:val="69"/>
              <w:spacing w:line="360" w:lineRule="auto"/>
              <w:rPr>
                <w:b/>
                <w:color w:val="000000" w:themeColor="text1"/>
                <w:sz w:val="21"/>
                <w:szCs w:val="21"/>
                <w14:textFill>
                  <w14:solidFill>
                    <w14:schemeClr w14:val="tx1"/>
                  </w14:solidFill>
                </w14:textFill>
              </w:rPr>
            </w:pPr>
          </w:p>
          <w:p>
            <w:pPr>
              <w:pStyle w:val="69"/>
              <w:tabs>
                <w:tab w:val="left" w:pos="4483"/>
              </w:tabs>
              <w:spacing w:before="1" w:line="360" w:lineRule="auto"/>
              <w:ind w:left="108"/>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人民币大写：</w:t>
            </w:r>
            <w:r>
              <w:rPr>
                <w:rFonts w:hint="eastAsia"/>
                <w:color w:val="000000" w:themeColor="text1"/>
                <w:sz w:val="21"/>
                <w:szCs w:val="21"/>
                <w:u w:val="single"/>
                <w:lang w:eastAsia="en-US"/>
                <w14:textFill>
                  <w14:solidFill>
                    <w14:schemeClr w14:val="tx1"/>
                  </w14:solidFill>
                </w14:textFill>
              </w:rPr>
              <w:t xml:space="preserve"> </w:t>
            </w:r>
            <w:r>
              <w:rPr>
                <w:rFonts w:hint="eastAsia"/>
                <w:color w:val="000000" w:themeColor="text1"/>
                <w:sz w:val="21"/>
                <w:szCs w:val="21"/>
                <w:u w:val="single"/>
                <w:lang w:eastAsia="en-US"/>
                <w14:textFill>
                  <w14:solidFill>
                    <w14:schemeClr w14:val="tx1"/>
                  </w14:solidFill>
                </w14:textFill>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573" w:type="dxa"/>
            <w:tcBorders>
              <w:top w:val="single" w:color="000000" w:sz="4" w:space="0"/>
              <w:left w:val="single" w:color="000000" w:sz="4" w:space="0"/>
              <w:bottom w:val="single" w:color="000000" w:sz="4" w:space="0"/>
              <w:right w:val="single" w:color="000000" w:sz="4" w:space="0"/>
            </w:tcBorders>
          </w:tcPr>
          <w:p>
            <w:pPr>
              <w:pStyle w:val="69"/>
              <w:spacing w:before="160" w:line="360" w:lineRule="auto"/>
              <w:ind w:left="8"/>
              <w:jc w:val="center"/>
              <w:rPr>
                <w:b/>
                <w:color w:val="000000" w:themeColor="text1"/>
                <w:sz w:val="21"/>
                <w:szCs w:val="21"/>
                <w:lang w:eastAsia="en-US"/>
                <w14:textFill>
                  <w14:solidFill>
                    <w14:schemeClr w14:val="tx1"/>
                  </w14:solidFill>
                </w14:textFill>
              </w:rPr>
            </w:pPr>
            <w:r>
              <w:rPr>
                <w:rFonts w:hint="eastAsia"/>
                <w:b/>
                <w:color w:val="000000" w:themeColor="text1"/>
                <w:sz w:val="21"/>
                <w:szCs w:val="21"/>
                <w:lang w:val="en-US" w:eastAsia="en-US"/>
                <w14:textFill>
                  <w14:solidFill>
                    <w14:schemeClr w14:val="tx1"/>
                  </w14:solidFill>
                </w14:textFill>
              </w:rPr>
              <w:t>质量标准</w:t>
            </w:r>
          </w:p>
        </w:tc>
        <w:tc>
          <w:tcPr>
            <w:tcW w:w="5950" w:type="dxa"/>
            <w:tcBorders>
              <w:top w:val="single" w:color="000000" w:sz="4" w:space="0"/>
              <w:left w:val="single" w:color="000000" w:sz="4" w:space="0"/>
              <w:bottom w:val="single" w:color="000000" w:sz="4" w:space="0"/>
              <w:right w:val="single" w:color="000000" w:sz="4" w:space="0"/>
            </w:tcBorders>
          </w:tcPr>
          <w:p>
            <w:pPr>
              <w:pStyle w:val="69"/>
              <w:spacing w:line="360" w:lineRule="auto"/>
              <w:rPr>
                <w:color w:val="000000" w:themeColor="text1"/>
                <w:sz w:val="21"/>
                <w:szCs w:val="21"/>
                <w:lang w:eastAsia="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573" w:type="dxa"/>
            <w:tcBorders>
              <w:top w:val="single" w:color="000000" w:sz="4" w:space="0"/>
              <w:left w:val="single" w:color="000000" w:sz="4" w:space="0"/>
              <w:bottom w:val="single" w:color="000000" w:sz="4" w:space="0"/>
              <w:right w:val="single" w:color="000000" w:sz="4" w:space="0"/>
            </w:tcBorders>
          </w:tcPr>
          <w:p>
            <w:pPr>
              <w:pStyle w:val="69"/>
              <w:tabs>
                <w:tab w:val="left" w:pos="733"/>
              </w:tabs>
              <w:spacing w:before="160" w:line="360" w:lineRule="auto"/>
              <w:ind w:left="9"/>
              <w:jc w:val="center"/>
              <w:rPr>
                <w:b/>
                <w:color w:val="000000" w:themeColor="text1"/>
                <w:sz w:val="21"/>
                <w:szCs w:val="21"/>
                <w:lang w:eastAsia="en-US"/>
                <w14:textFill>
                  <w14:solidFill>
                    <w14:schemeClr w14:val="tx1"/>
                  </w14:solidFill>
                </w14:textFill>
              </w:rPr>
            </w:pPr>
            <w:r>
              <w:rPr>
                <w:rFonts w:hint="eastAsia"/>
                <w:b/>
                <w:color w:val="000000" w:themeColor="text1"/>
                <w:sz w:val="21"/>
                <w:szCs w:val="21"/>
                <w:lang w:val="en-US" w:eastAsia="en-US"/>
                <w14:textFill>
                  <w14:solidFill>
                    <w14:schemeClr w14:val="tx1"/>
                  </w14:solidFill>
                </w14:textFill>
              </w:rPr>
              <w:t>工</w:t>
            </w:r>
            <w:r>
              <w:rPr>
                <w:rFonts w:hint="eastAsia"/>
                <w:b/>
                <w:color w:val="000000" w:themeColor="text1"/>
                <w:sz w:val="21"/>
                <w:szCs w:val="21"/>
                <w:lang w:eastAsia="en-US"/>
                <w14:textFill>
                  <w14:solidFill>
                    <w14:schemeClr w14:val="tx1"/>
                  </w14:solidFill>
                </w14:textFill>
              </w:rPr>
              <w:tab/>
            </w:r>
            <w:r>
              <w:rPr>
                <w:rFonts w:hint="eastAsia"/>
                <w:b/>
                <w:color w:val="000000" w:themeColor="text1"/>
                <w:sz w:val="21"/>
                <w:szCs w:val="21"/>
                <w:lang w:val="en-US" w:eastAsia="en-US"/>
                <w14:textFill>
                  <w14:solidFill>
                    <w14:schemeClr w14:val="tx1"/>
                  </w14:solidFill>
                </w14:textFill>
              </w:rPr>
              <w:t>期</w:t>
            </w:r>
          </w:p>
        </w:tc>
        <w:tc>
          <w:tcPr>
            <w:tcW w:w="5950" w:type="dxa"/>
            <w:tcBorders>
              <w:top w:val="single" w:color="000000" w:sz="4" w:space="0"/>
              <w:left w:val="single" w:color="000000" w:sz="4" w:space="0"/>
              <w:bottom w:val="single" w:color="000000" w:sz="4" w:space="0"/>
              <w:right w:val="single" w:color="000000" w:sz="4" w:space="0"/>
            </w:tcBorders>
          </w:tcPr>
          <w:p>
            <w:pPr>
              <w:pStyle w:val="69"/>
              <w:tabs>
                <w:tab w:val="left" w:pos="2028"/>
              </w:tabs>
              <w:spacing w:before="160" w:line="360" w:lineRule="auto"/>
              <w:ind w:left="108"/>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接开工令后</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日历天完工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573" w:type="dxa"/>
            <w:tcBorders>
              <w:top w:val="single" w:color="000000" w:sz="4" w:space="0"/>
              <w:left w:val="single" w:color="000000" w:sz="4" w:space="0"/>
              <w:bottom w:val="single" w:color="000000" w:sz="4" w:space="0"/>
              <w:right w:val="single" w:color="000000" w:sz="4" w:space="0"/>
            </w:tcBorders>
          </w:tcPr>
          <w:p>
            <w:pPr>
              <w:pStyle w:val="69"/>
              <w:spacing w:before="161" w:line="360" w:lineRule="auto"/>
              <w:ind w:left="6"/>
              <w:jc w:val="center"/>
              <w:rPr>
                <w:b/>
                <w:color w:val="000000" w:themeColor="text1"/>
                <w:sz w:val="21"/>
                <w:szCs w:val="21"/>
                <w:lang w:eastAsia="en-US"/>
                <w14:textFill>
                  <w14:solidFill>
                    <w14:schemeClr w14:val="tx1"/>
                  </w14:solidFill>
                </w14:textFill>
              </w:rPr>
            </w:pPr>
            <w:r>
              <w:rPr>
                <w:rFonts w:hint="eastAsia"/>
                <w:b/>
                <w:color w:val="000000" w:themeColor="text1"/>
                <w:sz w:val="21"/>
                <w:szCs w:val="21"/>
                <w:lang w:val="en-US" w:eastAsia="en-US"/>
                <w14:textFill>
                  <w14:solidFill>
                    <w14:schemeClr w14:val="tx1"/>
                  </w14:solidFill>
                </w14:textFill>
              </w:rPr>
              <w:t>是否响应付款方式</w:t>
            </w:r>
          </w:p>
        </w:tc>
        <w:tc>
          <w:tcPr>
            <w:tcW w:w="5950" w:type="dxa"/>
            <w:tcBorders>
              <w:top w:val="single" w:color="000000" w:sz="4" w:space="0"/>
              <w:left w:val="single" w:color="000000" w:sz="4" w:space="0"/>
              <w:bottom w:val="single" w:color="000000" w:sz="4" w:space="0"/>
              <w:right w:val="single" w:color="000000" w:sz="4" w:space="0"/>
            </w:tcBorders>
          </w:tcPr>
          <w:p>
            <w:pPr>
              <w:pStyle w:val="69"/>
              <w:tabs>
                <w:tab w:val="left" w:pos="1068"/>
                <w:tab w:val="left" w:pos="1908"/>
              </w:tabs>
              <w:spacing w:before="161" w:line="360" w:lineRule="auto"/>
              <w:ind w:left="108"/>
              <w:rPr>
                <w:color w:val="000000" w:themeColor="text1"/>
                <w:sz w:val="21"/>
                <w:szCs w:val="21"/>
                <w:lang w:eastAsia="en-US"/>
                <w14:textFill>
                  <w14:solidFill>
                    <w14:schemeClr w14:val="tx1"/>
                  </w14:solidFill>
                </w14:textFill>
              </w:rPr>
            </w:pPr>
            <w:r>
              <w:rPr>
                <w:rFonts w:hint="eastAsia"/>
                <w:color w:val="000000" w:themeColor="text1"/>
                <w:sz w:val="21"/>
                <w:szCs w:val="21"/>
                <w:lang w:val="en-US" w:eastAsia="en-US"/>
                <w14:textFill>
                  <w14:solidFill>
                    <w14:schemeClr w14:val="tx1"/>
                  </w14:solidFill>
                </w14:textFill>
              </w:rPr>
              <w:t>是</w:t>
            </w:r>
            <w:r>
              <w:rPr>
                <w:rFonts w:hint="eastAsia"/>
                <w:color w:val="000000" w:themeColor="text1"/>
                <w:sz w:val="21"/>
                <w:szCs w:val="21"/>
                <w:lang w:eastAsia="en-US"/>
                <w14:textFill>
                  <w14:solidFill>
                    <w14:schemeClr w14:val="tx1"/>
                  </w14:solidFill>
                </w14:textFill>
              </w:rPr>
              <w:t>□</w:t>
            </w:r>
            <w:r>
              <w:rPr>
                <w:rFonts w:hint="eastAsia"/>
                <w:color w:val="000000" w:themeColor="text1"/>
                <w:sz w:val="21"/>
                <w:szCs w:val="21"/>
                <w:lang w:eastAsia="en-US"/>
                <w14:textFill>
                  <w14:solidFill>
                    <w14:schemeClr w14:val="tx1"/>
                  </w14:solidFill>
                </w14:textFill>
              </w:rPr>
              <w:tab/>
            </w:r>
            <w:r>
              <w:rPr>
                <w:rFonts w:hint="eastAsia"/>
                <w:color w:val="000000" w:themeColor="text1"/>
                <w:sz w:val="21"/>
                <w:szCs w:val="21"/>
                <w:lang w:val="en-US" w:eastAsia="en-US"/>
                <w14:textFill>
                  <w14:solidFill>
                    <w14:schemeClr w14:val="tx1"/>
                  </w14:solidFill>
                </w14:textFill>
              </w:rPr>
              <w:t>否</w:t>
            </w:r>
            <w:r>
              <w:rPr>
                <w:rFonts w:hint="eastAsia"/>
                <w:color w:val="000000" w:themeColor="text1"/>
                <w:sz w:val="21"/>
                <w:szCs w:val="21"/>
                <w:lang w:eastAsia="en-US"/>
                <w14:textFill>
                  <w14:solidFill>
                    <w14:schemeClr w14:val="tx1"/>
                  </w14:solidFill>
                </w14:textFill>
              </w:rPr>
              <w:t>□</w:t>
            </w:r>
            <w:r>
              <w:rPr>
                <w:rFonts w:hint="eastAsia"/>
                <w:color w:val="000000" w:themeColor="text1"/>
                <w:sz w:val="21"/>
                <w:szCs w:val="21"/>
                <w:lang w:eastAsia="en-US"/>
                <w14:textFill>
                  <w14:solidFill>
                    <w14:schemeClr w14:val="tx1"/>
                  </w14:solidFill>
                </w14:textFill>
              </w:rPr>
              <w:tab/>
            </w:r>
            <w:r>
              <w:rPr>
                <w:rFonts w:hint="eastAsia"/>
                <w:color w:val="000000" w:themeColor="text1"/>
                <w:sz w:val="21"/>
                <w:szCs w:val="21"/>
                <w:lang w:val="en-US" w:eastAsia="en-US"/>
                <w14:textFill>
                  <w14:solidFill>
                    <w14:schemeClr w14:val="tx1"/>
                  </w14:solidFill>
                </w14:textFill>
              </w:rPr>
              <w:t>（划</w:t>
            </w:r>
            <w:r>
              <w:rPr>
                <w:rFonts w:hint="eastAsia"/>
                <w:color w:val="000000" w:themeColor="text1"/>
                <w:sz w:val="21"/>
                <w:szCs w:val="21"/>
                <w:lang w:eastAsia="en-US"/>
                <w14:textFill>
                  <w14:solidFill>
                    <w14:schemeClr w14:val="tx1"/>
                  </w14:solidFill>
                </w14:textFill>
              </w:rPr>
              <w:t>√</w:t>
            </w:r>
            <w:r>
              <w:rPr>
                <w:rFonts w:hint="eastAsia"/>
                <w:color w:val="000000" w:themeColor="text1"/>
                <w:sz w:val="21"/>
                <w:szCs w:val="21"/>
                <w:lang w:val="en-US" w:eastAsia="en-US"/>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573" w:type="dxa"/>
            <w:tcBorders>
              <w:top w:val="single" w:color="000000" w:sz="4" w:space="0"/>
              <w:left w:val="single" w:color="000000" w:sz="4" w:space="0"/>
              <w:bottom w:val="single" w:color="000000" w:sz="4" w:space="0"/>
              <w:right w:val="single" w:color="000000" w:sz="4" w:space="0"/>
            </w:tcBorders>
          </w:tcPr>
          <w:p>
            <w:pPr>
              <w:pStyle w:val="69"/>
              <w:spacing w:before="2" w:line="360" w:lineRule="auto"/>
              <w:rPr>
                <w:b/>
                <w:color w:val="000000" w:themeColor="text1"/>
                <w:sz w:val="21"/>
                <w:szCs w:val="21"/>
                <w:lang w:eastAsia="en-US"/>
                <w14:textFill>
                  <w14:solidFill>
                    <w14:schemeClr w14:val="tx1"/>
                  </w14:solidFill>
                </w14:textFill>
              </w:rPr>
            </w:pPr>
          </w:p>
          <w:p>
            <w:pPr>
              <w:pStyle w:val="69"/>
              <w:spacing w:line="360" w:lineRule="auto"/>
              <w:ind w:left="8"/>
              <w:jc w:val="center"/>
              <w:rPr>
                <w:b/>
                <w:color w:val="000000" w:themeColor="text1"/>
                <w:sz w:val="21"/>
                <w:szCs w:val="21"/>
                <w:lang w:eastAsia="en-US"/>
                <w14:textFill>
                  <w14:solidFill>
                    <w14:schemeClr w14:val="tx1"/>
                  </w14:solidFill>
                </w14:textFill>
              </w:rPr>
            </w:pPr>
            <w:r>
              <w:rPr>
                <w:rFonts w:hint="eastAsia"/>
                <w:b/>
                <w:color w:val="000000" w:themeColor="text1"/>
                <w:sz w:val="21"/>
                <w:szCs w:val="21"/>
                <w:lang w:val="en-US" w:eastAsia="en-US"/>
                <w14:textFill>
                  <w14:solidFill>
                    <w14:schemeClr w14:val="tx1"/>
                  </w14:solidFill>
                </w14:textFill>
              </w:rPr>
              <w:t>备注说明</w:t>
            </w:r>
          </w:p>
        </w:tc>
        <w:tc>
          <w:tcPr>
            <w:tcW w:w="5950" w:type="dxa"/>
            <w:tcBorders>
              <w:top w:val="single" w:color="000000" w:sz="4" w:space="0"/>
              <w:left w:val="single" w:color="000000" w:sz="4" w:space="0"/>
              <w:bottom w:val="single" w:color="000000" w:sz="4" w:space="0"/>
              <w:right w:val="single" w:color="000000" w:sz="4" w:space="0"/>
            </w:tcBorders>
          </w:tcPr>
          <w:p>
            <w:pPr>
              <w:pStyle w:val="69"/>
              <w:spacing w:line="360" w:lineRule="auto"/>
              <w:rPr>
                <w:color w:val="000000" w:themeColor="text1"/>
                <w:sz w:val="21"/>
                <w:szCs w:val="21"/>
                <w:lang w:eastAsia="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2573" w:type="dxa"/>
            <w:tcBorders>
              <w:top w:val="single" w:color="000000" w:sz="4" w:space="0"/>
              <w:left w:val="single" w:color="000000" w:sz="4" w:space="0"/>
              <w:bottom w:val="single" w:color="000000" w:sz="4" w:space="0"/>
              <w:right w:val="single" w:color="000000" w:sz="4" w:space="0"/>
            </w:tcBorders>
          </w:tcPr>
          <w:p>
            <w:pPr>
              <w:pStyle w:val="69"/>
              <w:spacing w:before="9" w:line="360" w:lineRule="auto"/>
              <w:rPr>
                <w:b/>
                <w:color w:val="000000" w:themeColor="text1"/>
                <w:sz w:val="21"/>
                <w:szCs w:val="21"/>
                <w:lang w:eastAsia="en-US"/>
                <w14:textFill>
                  <w14:solidFill>
                    <w14:schemeClr w14:val="tx1"/>
                  </w14:solidFill>
                </w14:textFill>
              </w:rPr>
            </w:pPr>
          </w:p>
          <w:p>
            <w:pPr>
              <w:pStyle w:val="69"/>
              <w:spacing w:before="1" w:line="360" w:lineRule="auto"/>
              <w:ind w:left="8"/>
              <w:jc w:val="center"/>
              <w:rPr>
                <w:b/>
                <w:color w:val="000000" w:themeColor="text1"/>
                <w:sz w:val="21"/>
                <w:szCs w:val="21"/>
                <w:lang w:eastAsia="en-US"/>
                <w14:textFill>
                  <w14:solidFill>
                    <w14:schemeClr w14:val="tx1"/>
                  </w14:solidFill>
                </w14:textFill>
              </w:rPr>
            </w:pPr>
            <w:r>
              <w:rPr>
                <w:rFonts w:hint="eastAsia"/>
                <w:b/>
                <w:color w:val="000000" w:themeColor="text1"/>
                <w:sz w:val="21"/>
                <w:szCs w:val="21"/>
                <w:lang w:val="en-US" w:eastAsia="en-US"/>
                <w14:textFill>
                  <w14:solidFill>
                    <w14:schemeClr w14:val="tx1"/>
                  </w14:solidFill>
                </w14:textFill>
              </w:rPr>
              <w:t>谈判小组签字</w:t>
            </w:r>
          </w:p>
        </w:tc>
        <w:tc>
          <w:tcPr>
            <w:tcW w:w="5950" w:type="dxa"/>
            <w:tcBorders>
              <w:top w:val="single" w:color="000000" w:sz="4" w:space="0"/>
              <w:left w:val="single" w:color="000000" w:sz="4" w:space="0"/>
              <w:bottom w:val="single" w:color="000000" w:sz="4" w:space="0"/>
              <w:right w:val="single" w:color="000000" w:sz="4" w:space="0"/>
            </w:tcBorders>
          </w:tcPr>
          <w:p>
            <w:pPr>
              <w:pStyle w:val="69"/>
              <w:spacing w:line="360" w:lineRule="auto"/>
              <w:rPr>
                <w:color w:val="000000" w:themeColor="text1"/>
                <w:sz w:val="21"/>
                <w:szCs w:val="21"/>
                <w:lang w:eastAsia="en-US"/>
                <w14:textFill>
                  <w14:solidFill>
                    <w14:schemeClr w14:val="tx1"/>
                  </w14:solidFill>
                </w14:textFill>
              </w:rPr>
            </w:pPr>
          </w:p>
        </w:tc>
      </w:tr>
    </w:tbl>
    <w:p>
      <w:pPr>
        <w:pStyle w:val="16"/>
        <w:tabs>
          <w:tab w:val="left" w:pos="6461"/>
          <w:tab w:val="left" w:pos="8556"/>
        </w:tabs>
        <w:spacing w:before="113" w:line="360" w:lineRule="auto"/>
        <w:ind w:left="5021" w:right="327" w:hanging="1201"/>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供应商公章或授权代表签字：</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日</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期：</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p>
    <w:p>
      <w:pPr>
        <w:spacing w:line="360" w:lineRule="auto"/>
        <w:ind w:firstLine="422" w:firstLineChars="20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注：</w:t>
      </w:r>
      <w:r>
        <w:rPr>
          <w:b/>
          <w:color w:val="000000" w:themeColor="text1"/>
          <w:sz w:val="21"/>
          <w:szCs w:val="21"/>
          <w14:textFill>
            <w14:solidFill>
              <w14:schemeClr w14:val="tx1"/>
            </w14:solidFill>
          </w14:textFill>
        </w:rPr>
        <w:t xml:space="preserve"> </w:t>
      </w:r>
    </w:p>
    <w:p>
      <w:pPr>
        <w:spacing w:line="360" w:lineRule="auto"/>
        <w:ind w:firstLine="422" w:firstLineChars="200"/>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1</w:t>
      </w:r>
      <w:r>
        <w:rPr>
          <w:rFonts w:hint="eastAsia"/>
          <w:b/>
          <w:color w:val="000000" w:themeColor="text1"/>
          <w:sz w:val="21"/>
          <w:szCs w:val="21"/>
          <w14:textFill>
            <w14:solidFill>
              <w14:schemeClr w14:val="tx1"/>
            </w14:solidFill>
          </w14:textFill>
        </w:rPr>
        <w:t>、考虑谈判报价的方便，供应商在填写最后承诺报价后，（第一次报价- 最后承诺报价）除以第一次报价后得出的优惠率视同为需求表中全部分项设备、工程量或服务的优惠浮动值（特定分项优惠除外），而不考虑措施项目清单和规 费税金清单的金额改变。此优惠率调整原则适用于合同内价格的计算及项目增减、变更时价格的计算。</w:t>
      </w:r>
    </w:p>
    <w:p>
      <w:pPr>
        <w:spacing w:line="360" w:lineRule="auto"/>
        <w:ind w:firstLine="422" w:firstLineChars="200"/>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2</w:t>
      </w:r>
      <w:r>
        <w:rPr>
          <w:rFonts w:hint="eastAsia"/>
          <w:b/>
          <w:color w:val="000000" w:themeColor="text1"/>
          <w:sz w:val="21"/>
          <w:szCs w:val="21"/>
          <w14:textFill>
            <w14:solidFill>
              <w14:schemeClr w14:val="tx1"/>
            </w14:solidFill>
          </w14:textFill>
        </w:rPr>
        <w:t>、投标人后期投标报价浮动率的计算按以下方式进行计算</w:t>
      </w:r>
    </w:p>
    <w:p>
      <w:pPr>
        <w:adjustRightInd w:val="0"/>
        <w:snapToGrid w:val="0"/>
        <w:spacing w:before="48" w:beforeLines="20" w:after="48" w:afterLines="20" w:line="360" w:lineRule="auto"/>
        <w:ind w:left="156" w:leftChars="71" w:firstLine="420" w:firstLineChars="200"/>
        <w:rPr>
          <w:rFonts w:cs="仿宋"/>
          <w:color w:val="000000" w:themeColor="text1"/>
          <w:sz w:val="21"/>
          <w:szCs w:val="21"/>
          <w14:textFill>
            <w14:solidFill>
              <w14:schemeClr w14:val="tx1"/>
            </w14:solidFill>
          </w14:textFill>
        </w:rPr>
      </w:pPr>
      <w:r>
        <w:rPr>
          <w:rFonts w:hint="eastAsia" w:cs="仿宋"/>
          <w:color w:val="000000" w:themeColor="text1"/>
          <w:sz w:val="21"/>
          <w:szCs w:val="21"/>
          <w14:textFill>
            <w14:solidFill>
              <w14:schemeClr w14:val="tx1"/>
            </w14:solidFill>
          </w14:textFill>
        </w:rPr>
        <w:t>投标报价浮动率 =【投标报价-（ 暂估价、暂列金额）】/【最高投标限价-（暂估价、暂列金额）】*100%（</w:t>
      </w:r>
      <w:r>
        <w:rPr>
          <w:rFonts w:hint="eastAsia"/>
          <w:b/>
          <w:bCs/>
          <w:color w:val="000000" w:themeColor="text1"/>
          <w:sz w:val="21"/>
          <w:szCs w:val="21"/>
          <w14:textFill>
            <w14:solidFill>
              <w14:schemeClr w14:val="tx1"/>
            </w14:solidFill>
          </w14:textFill>
        </w:rPr>
        <w:t>保留两位小数，小数点后第三位四舍五入</w:t>
      </w:r>
      <w:r>
        <w:rPr>
          <w:rFonts w:hint="eastAsia" w:cs="仿宋"/>
          <w:color w:val="000000" w:themeColor="text1"/>
          <w:sz w:val="21"/>
          <w:szCs w:val="21"/>
          <w14:textFill>
            <w14:solidFill>
              <w14:schemeClr w14:val="tx1"/>
            </w14:solidFill>
          </w14:textFill>
        </w:rPr>
        <w:t>）</w:t>
      </w:r>
    </w:p>
    <w:p>
      <w:pPr>
        <w:widowControl/>
        <w:autoSpaceDE/>
        <w:autoSpaceDN/>
        <w:spacing w:line="360" w:lineRule="auto"/>
        <w:rPr>
          <w:color w:val="000000" w:themeColor="text1"/>
          <w:sz w:val="21"/>
          <w:szCs w:val="21"/>
          <w14:textFill>
            <w14:solidFill>
              <w14:schemeClr w14:val="tx1"/>
            </w14:solidFill>
          </w14:textFill>
        </w:rPr>
        <w:sectPr>
          <w:pgSz w:w="11910" w:h="16840"/>
          <w:pgMar w:top="1380" w:right="1440" w:bottom="1580" w:left="1580" w:header="890" w:footer="1363" w:gutter="0"/>
          <w:cols w:space="720" w:num="1"/>
        </w:sectPr>
      </w:pPr>
    </w:p>
    <w:p>
      <w:pPr>
        <w:pStyle w:val="16"/>
        <w:spacing w:before="9" w:line="360" w:lineRule="auto"/>
        <w:rPr>
          <w:color w:val="000000" w:themeColor="text1"/>
          <w:sz w:val="21"/>
          <w:szCs w:val="21"/>
          <w14:textFill>
            <w14:solidFill>
              <w14:schemeClr w14:val="tx1"/>
            </w14:solidFill>
          </w14:textFill>
        </w:rPr>
      </w:pPr>
    </w:p>
    <w:p>
      <w:pPr>
        <w:pStyle w:val="5"/>
        <w:keepNext w:val="0"/>
        <w:keepLines w:val="0"/>
        <w:autoSpaceDE w:val="0"/>
        <w:autoSpaceDN w:val="0"/>
        <w:spacing w:before="0" w:after="0" w:line="240" w:lineRule="auto"/>
        <w:jc w:val="center"/>
        <w:rPr>
          <w:rFonts w:ascii="宋体" w:hAnsi="宋体" w:cs="宋体"/>
          <w:color w:val="000000" w:themeColor="text1"/>
          <w:sz w:val="24"/>
          <w:szCs w:val="24"/>
          <w:lang w:bidi="zh-CN"/>
          <w14:textFill>
            <w14:solidFill>
              <w14:schemeClr w14:val="tx1"/>
            </w14:solidFill>
          </w14:textFill>
        </w:rPr>
      </w:pPr>
      <w:r>
        <w:rPr>
          <w:rFonts w:hint="eastAsia" w:ascii="宋体" w:hAnsi="宋体" w:cs="宋体"/>
          <w:color w:val="000000" w:themeColor="text1"/>
          <w:sz w:val="24"/>
          <w:szCs w:val="24"/>
          <w:lang w:bidi="zh-CN"/>
          <w14:textFill>
            <w14:solidFill>
              <w14:schemeClr w14:val="tx1"/>
            </w14:solidFill>
          </w14:textFill>
        </w:rPr>
        <w:t>三、供应商综合情况简介</w:t>
      </w:r>
    </w:p>
    <w:p>
      <w:pPr>
        <w:pStyle w:val="16"/>
        <w:spacing w:line="360" w:lineRule="auto"/>
        <w:rPr>
          <w:b/>
          <w:color w:val="000000" w:themeColor="text1"/>
          <w:sz w:val="21"/>
          <w:szCs w:val="21"/>
          <w14:textFill>
            <w14:solidFill>
              <w14:schemeClr w14:val="tx1"/>
            </w14:solidFill>
          </w14:textFill>
        </w:rPr>
      </w:pPr>
    </w:p>
    <w:p>
      <w:pPr>
        <w:pStyle w:val="16"/>
        <w:spacing w:before="1" w:line="360" w:lineRule="auto"/>
        <w:ind w:right="1505"/>
        <w:jc w:val="center"/>
        <w:rPr>
          <w:b/>
          <w:bCs/>
          <w:color w:val="000000" w:themeColor="text1"/>
          <w:sz w:val="21"/>
          <w:szCs w:val="21"/>
          <w14:textFill>
            <w14:solidFill>
              <w14:schemeClr w14:val="tx1"/>
            </w14:solidFill>
          </w14:textFill>
        </w:rPr>
      </w:pPr>
      <w:r>
        <w:rPr>
          <w:rFonts w:hint="eastAsia"/>
          <w:b/>
          <w:bCs/>
          <w:color w:val="000000" w:themeColor="text1"/>
          <w:sz w:val="21"/>
          <w:szCs w:val="21"/>
          <w:lang w:val="en-US"/>
          <w14:textFill>
            <w14:solidFill>
              <w14:schemeClr w14:val="tx1"/>
            </w14:solidFill>
          </w14:textFill>
        </w:rPr>
        <w:t xml:space="preserve">                </w:t>
      </w:r>
      <w:r>
        <w:rPr>
          <w:rFonts w:hint="eastAsia"/>
          <w:b/>
          <w:bCs/>
          <w:color w:val="000000" w:themeColor="text1"/>
          <w:sz w:val="21"/>
          <w:szCs w:val="21"/>
          <w14:textFill>
            <w14:solidFill>
              <w14:schemeClr w14:val="tx1"/>
            </w14:solidFill>
          </w14:textFill>
        </w:rPr>
        <w:t>（供应商可自行制作格式）</w:t>
      </w:r>
    </w:p>
    <w:p>
      <w:pPr>
        <w:widowControl/>
        <w:autoSpaceDE/>
        <w:autoSpaceDN/>
        <w:spacing w:line="360" w:lineRule="auto"/>
        <w:rPr>
          <w:color w:val="000000" w:themeColor="text1"/>
          <w:sz w:val="21"/>
          <w:szCs w:val="21"/>
          <w14:textFill>
            <w14:solidFill>
              <w14:schemeClr w14:val="tx1"/>
            </w14:solidFill>
          </w14:textFill>
        </w:rPr>
        <w:sectPr>
          <w:pgSz w:w="11910" w:h="16840"/>
          <w:pgMar w:top="1380" w:right="1440" w:bottom="1580" w:left="1580" w:header="890" w:footer="1363" w:gutter="0"/>
          <w:cols w:space="720" w:num="1"/>
        </w:sectPr>
      </w:pPr>
    </w:p>
    <w:p>
      <w:pPr>
        <w:pStyle w:val="16"/>
        <w:spacing w:before="9" w:line="360" w:lineRule="auto"/>
        <w:rPr>
          <w:color w:val="000000" w:themeColor="text1"/>
          <w:sz w:val="21"/>
          <w:szCs w:val="21"/>
          <w14:textFill>
            <w14:solidFill>
              <w14:schemeClr w14:val="tx1"/>
            </w14:solidFill>
          </w14:textFill>
        </w:rPr>
      </w:pPr>
    </w:p>
    <w:p>
      <w:pPr>
        <w:pStyle w:val="5"/>
        <w:keepNext w:val="0"/>
        <w:keepLines w:val="0"/>
        <w:autoSpaceDE w:val="0"/>
        <w:autoSpaceDN w:val="0"/>
        <w:spacing w:before="0" w:after="0" w:line="240" w:lineRule="auto"/>
        <w:jc w:val="center"/>
        <w:rPr>
          <w:rFonts w:ascii="宋体" w:hAnsi="宋体" w:cs="宋体"/>
          <w:color w:val="000000" w:themeColor="text1"/>
          <w:sz w:val="24"/>
          <w:szCs w:val="24"/>
          <w:lang w:bidi="zh-CN"/>
          <w14:textFill>
            <w14:solidFill>
              <w14:schemeClr w14:val="tx1"/>
            </w14:solidFill>
          </w14:textFill>
        </w:rPr>
      </w:pPr>
      <w:r>
        <w:rPr>
          <w:rFonts w:hint="eastAsia" w:ascii="宋体" w:hAnsi="宋体" w:cs="宋体"/>
          <w:color w:val="000000" w:themeColor="text1"/>
          <w:sz w:val="24"/>
          <w:szCs w:val="24"/>
          <w:lang w:bidi="zh-CN"/>
          <w14:textFill>
            <w14:solidFill>
              <w14:schemeClr w14:val="tx1"/>
            </w14:solidFill>
          </w14:textFill>
        </w:rPr>
        <w:t>四、谈判响应函</w:t>
      </w:r>
    </w:p>
    <w:p>
      <w:pPr>
        <w:spacing w:before="240" w:beforeLines="100" w:after="240" w:afterLines="100" w:line="360" w:lineRule="auto"/>
        <w:ind w:firstLine="422" w:firstLineChars="20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致：（采购人）</w:t>
      </w:r>
    </w:p>
    <w:p>
      <w:pPr>
        <w:pStyle w:val="16"/>
        <w:spacing w:before="2" w:line="360" w:lineRule="auto"/>
        <w:ind w:left="110" w:leftChars="50" w:right="220" w:rightChars="100"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根据贵方的谈判邀请公告，我方兹宣布同意如下：</w:t>
      </w:r>
    </w:p>
    <w:p>
      <w:pPr>
        <w:spacing w:before="160" w:line="360" w:lineRule="auto"/>
        <w:ind w:right="220" w:rightChars="10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经踏勘项目现场和研究上述谈判文件的谈判须知、合同条款、图纸和工程建设技术标准及其他有关文件后，我方接受上述文件要求，并对工程量清单及最高投标限价（控制价）无异议。我方承诺按本谈判文件、施工图纸、合同条款和工程建设技术标准的条件、承担上述工程的施工、竣工，并承担任何质量缺陷保修责任。</w:t>
      </w:r>
    </w:p>
    <w:p>
      <w:pPr>
        <w:tabs>
          <w:tab w:val="left" w:pos="1062"/>
        </w:tabs>
        <w:spacing w:before="4" w:line="360" w:lineRule="auto"/>
        <w:ind w:right="220" w:rightChars="10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2.我方已详细审核并确认全部谈判文件及有关附件，充分理解谈判价格不得低于企业个别成本有关规定。我方经成本核算，所填报的谈判报价不低于企业个别成本。</w:t>
      </w:r>
    </w:p>
    <w:p>
      <w:pPr>
        <w:tabs>
          <w:tab w:val="left" w:pos="1062"/>
        </w:tabs>
        <w:spacing w:before="1" w:line="360" w:lineRule="auto"/>
        <w:ind w:right="220" w:rightChars="100"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3.一旦我方成交，我方保证按谈判文件约定的工期和谈判文件或业主开工令的要求如期开工、竣工并移交整个工程。</w:t>
      </w:r>
    </w:p>
    <w:p>
      <w:pPr>
        <w:tabs>
          <w:tab w:val="left" w:pos="1062"/>
        </w:tabs>
        <w:spacing w:before="2" w:line="360" w:lineRule="auto"/>
        <w:ind w:right="220" w:rightChars="100"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4.一旦我方成交，我方保证工程质量达到合格标准。</w:t>
      </w:r>
    </w:p>
    <w:p>
      <w:pPr>
        <w:tabs>
          <w:tab w:val="left" w:pos="1062"/>
        </w:tabs>
        <w:spacing w:before="161" w:line="360" w:lineRule="auto"/>
        <w:ind w:right="220" w:rightChars="100"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5.一旦我方成交，我方保证响应文件中承诺的项目管理班子及施工机械设备到位，并按响应文件中的施工组织设计组织施工。</w:t>
      </w:r>
    </w:p>
    <w:p>
      <w:pPr>
        <w:tabs>
          <w:tab w:val="left" w:pos="1062"/>
        </w:tabs>
        <w:spacing w:before="1" w:line="360" w:lineRule="auto"/>
        <w:ind w:right="220" w:rightChars="100"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6.一旦我方成交，我方保证用于本工程的主要材料、设备，符合谈判文件规定和响应文件承诺，并在使用之前经建设、监理、设计单位确认后使用。</w:t>
      </w:r>
    </w:p>
    <w:p>
      <w:pPr>
        <w:tabs>
          <w:tab w:val="left" w:pos="1062"/>
        </w:tabs>
        <w:spacing w:before="1" w:line="360" w:lineRule="auto"/>
        <w:ind w:right="220" w:rightChars="100"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7.一旦我方成交，我方保证在规定的时间内由我方法定代表人亲自签订合同以及及时进场施工，并认真履行合同和其它各项承诺。</w:t>
      </w:r>
    </w:p>
    <w:p>
      <w:pPr>
        <w:tabs>
          <w:tab w:val="left" w:pos="1062"/>
        </w:tabs>
        <w:spacing w:before="2" w:line="360" w:lineRule="auto"/>
        <w:ind w:right="220" w:rightChars="100"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8.一旦我方成交，我方保证在规定的时间内按谈判文件规定的方式、金额向采购人提交履约担保。</w:t>
      </w:r>
    </w:p>
    <w:p>
      <w:pPr>
        <w:tabs>
          <w:tab w:val="left" w:pos="1062"/>
        </w:tabs>
        <w:spacing w:before="2" w:line="360" w:lineRule="auto"/>
        <w:ind w:right="220" w:rightChars="100"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9.我方同意所提交的响应文件在谈判文件规定的谈判有效期内有效，在此期间内如果成交，我方将受此约束。</w:t>
      </w:r>
    </w:p>
    <w:p>
      <w:pPr>
        <w:tabs>
          <w:tab w:val="left" w:pos="1182"/>
        </w:tabs>
        <w:spacing w:before="1" w:line="360" w:lineRule="auto"/>
        <w:ind w:right="220" w:rightChars="100"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10.除非另外达成协议并生效，你方的成交通知书和本响应文件以及谈判文件、谈判文件澄清、修改、补充将成为约束双方的合同文件的组成部分。</w:t>
      </w:r>
    </w:p>
    <w:p>
      <w:pPr>
        <w:tabs>
          <w:tab w:val="left" w:pos="1182"/>
        </w:tabs>
        <w:spacing w:before="2" w:line="360" w:lineRule="auto"/>
        <w:ind w:right="220" w:rightChars="100"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11.我方承诺：</w:t>
      </w:r>
    </w:p>
    <w:p>
      <w:pPr>
        <w:pStyle w:val="68"/>
        <w:numPr>
          <w:ilvl w:val="0"/>
          <w:numId w:val="18"/>
        </w:numPr>
        <w:tabs>
          <w:tab w:val="left" w:pos="1302"/>
        </w:tabs>
        <w:spacing w:before="161" w:line="360" w:lineRule="auto"/>
        <w:ind w:left="220" w:right="360" w:firstLine="47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我方已对采购人提供的工程量清单和最高投标限价（控制价）进行认真复核，确认无误，成交后不再另行调整。</w:t>
      </w:r>
    </w:p>
    <w:p>
      <w:pPr>
        <w:pStyle w:val="68"/>
        <w:numPr>
          <w:ilvl w:val="0"/>
          <w:numId w:val="18"/>
        </w:numPr>
        <w:tabs>
          <w:tab w:val="left" w:pos="1302"/>
        </w:tabs>
        <w:spacing w:line="360" w:lineRule="auto"/>
        <w:ind w:left="220" w:right="354" w:firstLine="479"/>
        <w:jc w:val="both"/>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我</w:t>
      </w:r>
      <w:r>
        <w:rPr>
          <w:rFonts w:hint="eastAsia"/>
          <w:color w:val="000000" w:themeColor="text1"/>
          <w:sz w:val="21"/>
          <w:szCs w:val="21"/>
          <w14:textFill>
            <w14:solidFill>
              <w14:schemeClr w14:val="tx1"/>
            </w14:solidFill>
          </w14:textFill>
        </w:rPr>
        <w:t>方报价中已考虑实行增值税计税模式带来的影响，报价中已包含谈判文件公布的施工扬尘污染防治措施费用，一旦我方成交，将严格遵守国家、省、市增值税相关规定的要求。我方将按照谈判文件的要求对农民工工资、扬尘污染防治进行办理专户设立、工资支付等事宜。</w:t>
      </w:r>
    </w:p>
    <w:p>
      <w:pPr>
        <w:tabs>
          <w:tab w:val="left" w:pos="1062"/>
          <w:tab w:val="left" w:pos="4300"/>
        </w:tabs>
        <w:spacing w:line="360" w:lineRule="auto"/>
        <w:ind w:firstLine="420" w:firstLineChars="200"/>
        <w:jc w:val="both"/>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12.其他补充说明：</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 xml:space="preserve">补充说明事项（如有）       </w:t>
      </w:r>
    </w:p>
    <w:p>
      <w:pPr>
        <w:tabs>
          <w:tab w:val="left" w:pos="1062"/>
          <w:tab w:val="left" w:pos="4300"/>
        </w:tabs>
        <w:spacing w:line="360" w:lineRule="auto"/>
        <w:ind w:firstLine="420" w:firstLineChars="200"/>
        <w:jc w:val="both"/>
        <w:rPr>
          <w:color w:val="000000" w:themeColor="text1"/>
          <w:sz w:val="21"/>
          <w:szCs w:val="21"/>
          <w14:textFill>
            <w14:solidFill>
              <w14:schemeClr w14:val="tx1"/>
            </w14:solidFill>
          </w14:textFill>
        </w:rPr>
      </w:pPr>
    </w:p>
    <w:p>
      <w:pPr>
        <w:pStyle w:val="16"/>
        <w:tabs>
          <w:tab w:val="left" w:pos="7596"/>
        </w:tabs>
        <w:spacing w:before="161" w:line="360" w:lineRule="auto"/>
        <w:ind w:left="3341" w:right="1287" w:firstLine="210" w:firstLineChars="100"/>
        <w:jc w:val="both"/>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供应商签章：</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 xml:space="preserve"> </w:t>
      </w:r>
    </w:p>
    <w:p>
      <w:pPr>
        <w:spacing w:line="360" w:lineRule="auto"/>
        <w:ind w:firstLine="2110" w:firstLineChars="1005"/>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法定代表人或其委托代理人：</w:t>
      </w:r>
      <w:r>
        <w:rPr>
          <w:rFonts w:hint="eastAsia"/>
          <w:color w:val="000000" w:themeColor="text1"/>
          <w:sz w:val="21"/>
          <w:szCs w:val="21"/>
          <w:u w:val="single"/>
          <w14:textFill>
            <w14:solidFill>
              <w14:schemeClr w14:val="tx1"/>
            </w14:solidFill>
          </w14:textFill>
        </w:rPr>
        <w:t xml:space="preserve">  （签字或盖章） </w:t>
      </w:r>
    </w:p>
    <w:p>
      <w:pPr>
        <w:pStyle w:val="16"/>
        <w:tabs>
          <w:tab w:val="left" w:pos="7596"/>
        </w:tabs>
        <w:spacing w:before="161" w:line="360" w:lineRule="auto"/>
        <w:ind w:right="1287" w:firstLine="3360" w:firstLineChars="16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日       期 ：</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p>
    <w:p>
      <w:pPr>
        <w:widowControl/>
        <w:autoSpaceDE/>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br w:type="page"/>
      </w:r>
    </w:p>
    <w:p>
      <w:pPr>
        <w:widowControl/>
        <w:autoSpaceDE/>
        <w:spacing w:line="360" w:lineRule="auto"/>
        <w:rPr>
          <w:color w:val="000000" w:themeColor="text1"/>
          <w:sz w:val="21"/>
          <w:szCs w:val="21"/>
          <w14:textFill>
            <w14:solidFill>
              <w14:schemeClr w14:val="tx1"/>
            </w14:solidFill>
          </w14:textFill>
        </w:rPr>
      </w:pPr>
    </w:p>
    <w:p>
      <w:pPr>
        <w:spacing w:line="360" w:lineRule="auto"/>
        <w:rPr>
          <w:rFonts w:cs="黑体"/>
          <w:b/>
          <w:color w:val="000000" w:themeColor="text1"/>
          <w:sz w:val="21"/>
          <w:szCs w:val="21"/>
          <w14:textFill>
            <w14:solidFill>
              <w14:schemeClr w14:val="tx1"/>
            </w14:solidFill>
          </w14:textFill>
        </w:rPr>
      </w:pPr>
      <w:r>
        <w:rPr>
          <w:rFonts w:hint="eastAsia" w:cs="黑体"/>
          <w:b/>
          <w:color w:val="000000" w:themeColor="text1"/>
          <w:sz w:val="21"/>
          <w:szCs w:val="21"/>
          <w14:textFill>
            <w14:solidFill>
              <w14:schemeClr w14:val="tx1"/>
            </w14:solidFill>
          </w14:textFill>
        </w:rPr>
        <w:t>附录1:</w:t>
      </w:r>
    </w:p>
    <w:p>
      <w:pPr>
        <w:spacing w:line="360" w:lineRule="auto"/>
        <w:rPr>
          <w:rFonts w:cs="黑体"/>
          <w:b/>
          <w:color w:val="000000" w:themeColor="text1"/>
          <w:sz w:val="21"/>
          <w:szCs w:val="21"/>
          <w14:textFill>
            <w14:solidFill>
              <w14:schemeClr w14:val="tx1"/>
            </w14:solidFill>
          </w14:textFill>
        </w:rPr>
      </w:pPr>
    </w:p>
    <w:p>
      <w:pPr>
        <w:spacing w:line="360" w:lineRule="auto"/>
        <w:jc w:val="center"/>
        <w:rPr>
          <w:rFonts w:cs="黑体"/>
          <w:b/>
          <w:color w:val="000000" w:themeColor="text1"/>
          <w:sz w:val="21"/>
          <w:szCs w:val="21"/>
          <w14:textFill>
            <w14:solidFill>
              <w14:schemeClr w14:val="tx1"/>
            </w14:solidFill>
          </w14:textFill>
        </w:rPr>
      </w:pPr>
      <w:r>
        <w:rPr>
          <w:rFonts w:hint="eastAsia" w:cs="黑体"/>
          <w:b/>
          <w:color w:val="000000" w:themeColor="text1"/>
          <w:sz w:val="21"/>
          <w:szCs w:val="21"/>
          <w14:textFill>
            <w14:solidFill>
              <w14:schemeClr w14:val="tx1"/>
            </w14:solidFill>
          </w14:textFill>
        </w:rPr>
        <w:t>投标人诚信承诺书</w:t>
      </w:r>
    </w:p>
    <w:p>
      <w:pPr>
        <w:pStyle w:val="73"/>
        <w:widowControl w:val="0"/>
        <w:spacing w:line="360" w:lineRule="auto"/>
        <w:rPr>
          <w:rFonts w:ascii="宋体" w:hAnsi="宋体"/>
          <w:b/>
          <w:bCs/>
          <w:color w:val="000000" w:themeColor="text1"/>
          <w:u w:val="single"/>
          <w14:textFill>
            <w14:solidFill>
              <w14:schemeClr w14:val="tx1"/>
            </w14:solidFill>
          </w14:textFill>
        </w:rPr>
      </w:pPr>
      <w:r>
        <w:rPr>
          <w:rFonts w:hint="eastAsia" w:ascii="宋体" w:hAnsi="宋体"/>
          <w:b/>
          <w:bCs/>
          <w:color w:val="000000" w:themeColor="text1"/>
          <w14:textFill>
            <w14:solidFill>
              <w14:schemeClr w14:val="tx1"/>
            </w14:solidFill>
          </w14:textFill>
        </w:rPr>
        <w:t>致：</w:t>
      </w:r>
      <w:r>
        <w:rPr>
          <w:rFonts w:hint="eastAsia" w:ascii="宋体" w:hAnsi="宋体"/>
          <w:b/>
          <w:bCs/>
          <w:color w:val="000000" w:themeColor="text1"/>
          <w:u w:val="single"/>
          <w14:textFill>
            <w14:solidFill>
              <w14:schemeClr w14:val="tx1"/>
            </w14:solidFill>
          </w14:textFill>
        </w:rPr>
        <w:t xml:space="preserve">  （采购人）</w:t>
      </w:r>
    </w:p>
    <w:p>
      <w:pPr>
        <w:spacing w:line="360" w:lineRule="auto"/>
        <w:ind w:firstLine="420" w:firstLineChars="200"/>
        <w:rPr>
          <w:rFonts w:cs="仿宋"/>
          <w:color w:val="000000" w:themeColor="text1"/>
          <w:sz w:val="21"/>
          <w:szCs w:val="21"/>
          <w14:textFill>
            <w14:solidFill>
              <w14:schemeClr w14:val="tx1"/>
            </w14:solidFill>
          </w14:textFill>
        </w:rPr>
      </w:pPr>
      <w:r>
        <w:rPr>
          <w:rFonts w:hint="eastAsia" w:cs="仿宋"/>
          <w:color w:val="000000" w:themeColor="text1"/>
          <w:sz w:val="21"/>
          <w:szCs w:val="21"/>
          <w14:textFill>
            <w14:solidFill>
              <w14:schemeClr w14:val="tx1"/>
            </w14:solidFill>
          </w14:textFill>
        </w:rPr>
        <w:t>我单位参加本次投标，承诺如下：</w:t>
      </w:r>
    </w:p>
    <w:p>
      <w:pPr>
        <w:spacing w:line="360" w:lineRule="auto"/>
        <w:ind w:firstLine="420" w:firstLineChars="200"/>
        <w:rPr>
          <w:rFonts w:cs="仿宋"/>
          <w:color w:val="000000" w:themeColor="text1"/>
          <w:sz w:val="21"/>
          <w:szCs w:val="21"/>
          <w14:textFill>
            <w14:solidFill>
              <w14:schemeClr w14:val="tx1"/>
            </w14:solidFill>
          </w14:textFill>
        </w:rPr>
      </w:pPr>
      <w:r>
        <w:rPr>
          <w:rFonts w:hint="eastAsia" w:cs="仿宋"/>
          <w:color w:val="000000" w:themeColor="text1"/>
          <w:sz w:val="21"/>
          <w:szCs w:val="21"/>
          <w14:textFill>
            <w14:solidFill>
              <w14:schemeClr w14:val="tx1"/>
            </w14:solidFill>
          </w14:textFill>
        </w:rPr>
        <w:t>1. 提供的所有资料都是真实有效。如被发现提供虚假资料或虚假承诺（声明），同意取消谈判和成交候选人资格。</w:t>
      </w:r>
    </w:p>
    <w:p>
      <w:pPr>
        <w:spacing w:line="360" w:lineRule="auto"/>
        <w:ind w:firstLine="420" w:firstLineChars="200"/>
        <w:rPr>
          <w:rFonts w:cs="仿宋"/>
          <w:color w:val="000000" w:themeColor="text1"/>
          <w:sz w:val="21"/>
          <w:szCs w:val="21"/>
          <w14:textFill>
            <w14:solidFill>
              <w14:schemeClr w14:val="tx1"/>
            </w14:solidFill>
          </w14:textFill>
        </w:rPr>
      </w:pPr>
      <w:r>
        <w:rPr>
          <w:rFonts w:hint="eastAsia" w:cs="仿宋"/>
          <w:color w:val="000000" w:themeColor="text1"/>
          <w:sz w:val="21"/>
          <w:szCs w:val="21"/>
          <w14:textFill>
            <w14:solidFill>
              <w14:schemeClr w14:val="tx1"/>
            </w14:solidFill>
          </w14:textFill>
        </w:rPr>
        <w:t>2. 不存在借用资质、串通投标等情形。如被发现，同意取消谈判和成交候选人资格。</w:t>
      </w:r>
    </w:p>
    <w:p>
      <w:pPr>
        <w:spacing w:line="360" w:lineRule="auto"/>
        <w:ind w:firstLine="420" w:firstLineChars="200"/>
        <w:rPr>
          <w:rFonts w:cs="仿宋"/>
          <w:color w:val="000000" w:themeColor="text1"/>
          <w:sz w:val="21"/>
          <w:szCs w:val="21"/>
          <w14:textFill>
            <w14:solidFill>
              <w14:schemeClr w14:val="tx1"/>
            </w14:solidFill>
          </w14:textFill>
        </w:rPr>
      </w:pPr>
      <w:r>
        <w:rPr>
          <w:rFonts w:hint="eastAsia" w:cs="仿宋"/>
          <w:color w:val="000000" w:themeColor="text1"/>
          <w:sz w:val="21"/>
          <w:szCs w:val="21"/>
          <w14:textFill>
            <w14:solidFill>
              <w14:schemeClr w14:val="tx1"/>
            </w14:solidFill>
          </w14:textFill>
        </w:rPr>
        <w:t>3．如我方为成交候选人，除不可抗力</w:t>
      </w:r>
      <w:r>
        <w:rPr>
          <w:rFonts w:hint="eastAsia" w:cs="仿宋"/>
          <w:b/>
          <w:color w:val="000000" w:themeColor="text1"/>
          <w:sz w:val="21"/>
          <w:szCs w:val="21"/>
          <w14:textFill>
            <w14:solidFill>
              <w14:schemeClr w14:val="tx1"/>
            </w14:solidFill>
          </w14:textFill>
        </w:rPr>
        <w:t>（是指不能预见、不能避免并不能克服</w:t>
      </w:r>
      <w:r>
        <w:rPr>
          <w:rFonts w:hint="eastAsia" w:cs="仿宋"/>
          <w:color w:val="000000" w:themeColor="text1"/>
          <w:sz w:val="21"/>
          <w:szCs w:val="21"/>
          <w14:textFill>
            <w14:solidFill>
              <w14:schemeClr w14:val="tx1"/>
            </w14:solidFill>
          </w14:textFill>
        </w:rPr>
        <w:t>的客观情况，包括自然灾害和社会突发事件，如地震、海啸、瘟疫、水灾、骚乱、暴动、战争等），不因任何其它原因放弃成交候选人资格。</w:t>
      </w:r>
    </w:p>
    <w:p>
      <w:pPr>
        <w:spacing w:line="360" w:lineRule="auto"/>
        <w:ind w:firstLine="420" w:firstLineChars="200"/>
        <w:rPr>
          <w:rFonts w:cs="仿宋"/>
          <w:color w:val="000000" w:themeColor="text1"/>
          <w:sz w:val="21"/>
          <w:szCs w:val="21"/>
          <w14:textFill>
            <w14:solidFill>
              <w14:schemeClr w14:val="tx1"/>
            </w14:solidFill>
          </w14:textFill>
        </w:rPr>
      </w:pPr>
      <w:r>
        <w:rPr>
          <w:rFonts w:hint="eastAsia" w:cs="仿宋"/>
          <w:color w:val="000000" w:themeColor="text1"/>
          <w:sz w:val="21"/>
          <w:szCs w:val="21"/>
          <w14:textFill>
            <w14:solidFill>
              <w14:schemeClr w14:val="tx1"/>
            </w14:solidFill>
          </w14:textFill>
        </w:rPr>
        <w:t>4、我方成交后，严格按照采购文件和我单位响应文件的约定签订合同。</w:t>
      </w:r>
    </w:p>
    <w:p>
      <w:pPr>
        <w:spacing w:line="360" w:lineRule="auto"/>
        <w:ind w:firstLine="420" w:firstLineChars="200"/>
        <w:rPr>
          <w:rFonts w:cs="仿宋"/>
          <w:color w:val="000000" w:themeColor="text1"/>
          <w:sz w:val="21"/>
          <w:szCs w:val="21"/>
          <w14:textFill>
            <w14:solidFill>
              <w14:schemeClr w14:val="tx1"/>
            </w14:solidFill>
          </w14:textFill>
        </w:rPr>
      </w:pPr>
      <w:r>
        <w:rPr>
          <w:rFonts w:hint="eastAsia" w:cs="仿宋"/>
          <w:color w:val="000000" w:themeColor="text1"/>
          <w:sz w:val="21"/>
          <w:szCs w:val="21"/>
          <w14:textFill>
            <w14:solidFill>
              <w14:schemeClr w14:val="tx1"/>
            </w14:solidFill>
          </w14:textFill>
        </w:rPr>
        <w:t>5、我方同意将达不到供应商资格要求条件仍参与谈判或被行政主管部门、监督管理部门等暂停、取消公共资源交易资格且在限制期内仍参与谈判的情形视为弄虚作假，愿意接受处理。</w:t>
      </w:r>
    </w:p>
    <w:p>
      <w:pPr>
        <w:spacing w:line="360" w:lineRule="auto"/>
        <w:ind w:firstLine="420" w:firstLineChars="200"/>
        <w:rPr>
          <w:rFonts w:cs="仿宋"/>
          <w:color w:val="000000" w:themeColor="text1"/>
          <w:sz w:val="21"/>
          <w:szCs w:val="21"/>
          <w14:textFill>
            <w14:solidFill>
              <w14:schemeClr w14:val="tx1"/>
            </w14:solidFill>
          </w14:textFill>
        </w:rPr>
      </w:pPr>
      <w:r>
        <w:rPr>
          <w:rFonts w:hint="eastAsia" w:cs="仿宋"/>
          <w:color w:val="000000" w:themeColor="text1"/>
          <w:sz w:val="21"/>
          <w:szCs w:val="21"/>
          <w14:textFill>
            <w14:solidFill>
              <w14:schemeClr w14:val="tx1"/>
            </w14:solidFill>
          </w14:textFill>
        </w:rPr>
        <w:t>6、我方参与谈判如出现报价高于或等于该项目最高限价的情形，同意视为串通投标并接受处理。</w:t>
      </w:r>
    </w:p>
    <w:p>
      <w:pPr>
        <w:spacing w:line="360" w:lineRule="auto"/>
        <w:ind w:firstLine="420" w:firstLineChars="200"/>
        <w:rPr>
          <w:rFonts w:cs="华文仿宋"/>
          <w:color w:val="000000" w:themeColor="text1"/>
          <w:sz w:val="21"/>
          <w:szCs w:val="21"/>
          <w14:textFill>
            <w14:solidFill>
              <w14:schemeClr w14:val="tx1"/>
            </w14:solidFill>
          </w14:textFill>
        </w:rPr>
      </w:pPr>
      <w:r>
        <w:rPr>
          <w:rFonts w:hint="eastAsia" w:cs="华文仿宋"/>
          <w:color w:val="000000" w:themeColor="text1"/>
          <w:sz w:val="21"/>
          <w:szCs w:val="21"/>
          <w14:textFill>
            <w14:solidFill>
              <w14:schemeClr w14:val="tx1"/>
            </w14:solidFill>
          </w14:textFill>
        </w:rPr>
        <w:t>出现违反上述承诺情形之一的，我单位还同意在 1 至 3 年内不参与贵单位交易活动，且后期我单位不因公司表现良好等各种理由向采购人申请予以恢复参与贵单位交易活动，采购人也不应以公司表现良好等各种理由为由提前解除对我单位的处理。愿意公开披露我单位违反承诺的不良行为信息，愿意接受处罚并承担所有经济损失和法律责任。</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后期履约过程中除不可抗力外如我单位放弃（拒绝）履约，同意采购人（甲方）不予退还履约保证金，我单位（乙方）不要求退还履约保证金，我单位（乙方）三年不参与贵单位交易活动，且在处理期间不因公司表现良好等各种理由向采购人申请予以提前恢复参与贵单位交易活动，采购人（甲方）也不能以公司表现良好等各种理由为由提前解除对我单位（乙方）的处理。 </w:t>
      </w:r>
    </w:p>
    <w:p>
      <w:pPr>
        <w:spacing w:line="360" w:lineRule="auto"/>
        <w:ind w:firstLine="522" w:firstLineChars="24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此承诺不受投标有效期的限制。</w:t>
      </w:r>
    </w:p>
    <w:p>
      <w:pPr>
        <w:spacing w:line="360" w:lineRule="auto"/>
        <w:ind w:firstLine="420" w:firstLineChars="200"/>
        <w:rPr>
          <w:rFonts w:cs="华文仿宋"/>
          <w:color w:val="000000" w:themeColor="text1"/>
          <w:sz w:val="21"/>
          <w:szCs w:val="21"/>
          <w14:textFill>
            <w14:solidFill>
              <w14:schemeClr w14:val="tx1"/>
            </w14:solidFill>
          </w14:textFill>
        </w:rPr>
      </w:pPr>
    </w:p>
    <w:p>
      <w:pPr>
        <w:pStyle w:val="73"/>
        <w:widowControl w:val="0"/>
        <w:spacing w:line="360" w:lineRule="auto"/>
        <w:ind w:firstLine="42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供应商签章</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u w:val="single"/>
          <w14:textFill>
            <w14:solidFill>
              <w14:schemeClr w14:val="tx1"/>
            </w14:solidFill>
          </w14:textFill>
        </w:rPr>
        <w:t xml:space="preserve">                       </w:t>
      </w:r>
    </w:p>
    <w:p>
      <w:pPr>
        <w:pStyle w:val="73"/>
        <w:widowControl w:val="0"/>
        <w:spacing w:line="360" w:lineRule="auto"/>
        <w:ind w:firstLine="2362" w:firstLineChars="112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法定代表人或其委托代理人：</w:t>
      </w:r>
      <w:r>
        <w:rPr>
          <w:rFonts w:hint="eastAsia" w:ascii="宋体" w:hAnsi="宋体"/>
          <w:color w:val="000000" w:themeColor="text1"/>
          <w:u w:val="single"/>
          <w14:textFill>
            <w14:solidFill>
              <w14:schemeClr w14:val="tx1"/>
            </w14:solidFill>
          </w14:textFill>
        </w:rPr>
        <w:t>（签字或盖章）</w:t>
      </w:r>
    </w:p>
    <w:p>
      <w:pPr>
        <w:pStyle w:val="73"/>
        <w:widowControl w:val="0"/>
        <w:spacing w:line="360" w:lineRule="auto"/>
        <w:ind w:firstLine="42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年   月    日</w:t>
      </w:r>
    </w:p>
    <w:p>
      <w:pPr>
        <w:widowControl/>
        <w:autoSpaceDE/>
        <w:autoSpaceDN/>
        <w:spacing w:line="360" w:lineRule="auto"/>
        <w:rPr>
          <w:color w:val="000000" w:themeColor="text1"/>
          <w:sz w:val="21"/>
          <w:szCs w:val="21"/>
          <w14:textFill>
            <w14:solidFill>
              <w14:schemeClr w14:val="tx1"/>
            </w14:solidFill>
          </w14:textFill>
        </w:rPr>
        <w:sectPr>
          <w:pgSz w:w="11910" w:h="16840"/>
          <w:pgMar w:top="1380" w:right="1440" w:bottom="1580" w:left="1580" w:header="890" w:footer="1363" w:gutter="0"/>
          <w:cols w:space="720" w:num="1"/>
        </w:sectPr>
      </w:pPr>
    </w:p>
    <w:p>
      <w:pPr>
        <w:pStyle w:val="16"/>
        <w:spacing w:before="8" w:line="360" w:lineRule="auto"/>
        <w:rPr>
          <w:color w:val="000000" w:themeColor="text1"/>
          <w:sz w:val="21"/>
          <w:szCs w:val="21"/>
          <w14:textFill>
            <w14:solidFill>
              <w14:schemeClr w14:val="tx1"/>
            </w14:solidFill>
          </w14:textFill>
        </w:rPr>
      </w:pPr>
    </w:p>
    <w:p>
      <w:pPr>
        <w:pStyle w:val="5"/>
        <w:keepNext w:val="0"/>
        <w:keepLines w:val="0"/>
        <w:autoSpaceDE w:val="0"/>
        <w:autoSpaceDN w:val="0"/>
        <w:spacing w:before="0" w:after="0" w:line="240" w:lineRule="auto"/>
        <w:jc w:val="center"/>
        <w:rPr>
          <w:rFonts w:ascii="宋体" w:hAnsi="宋体" w:cs="宋体"/>
          <w:color w:val="000000" w:themeColor="text1"/>
          <w:sz w:val="24"/>
          <w:szCs w:val="24"/>
          <w:lang w:bidi="zh-CN"/>
          <w14:textFill>
            <w14:solidFill>
              <w14:schemeClr w14:val="tx1"/>
            </w14:solidFill>
          </w14:textFill>
        </w:rPr>
      </w:pPr>
      <w:r>
        <w:rPr>
          <w:rFonts w:hint="eastAsia" w:ascii="宋体" w:hAnsi="宋体" w:cs="宋体"/>
          <w:color w:val="000000" w:themeColor="text1"/>
          <w:sz w:val="24"/>
          <w:szCs w:val="24"/>
          <w:lang w:bidi="zh-CN"/>
          <w14:textFill>
            <w14:solidFill>
              <w14:schemeClr w14:val="tx1"/>
            </w14:solidFill>
          </w14:textFill>
        </w:rPr>
        <w:t>五、无重大违法记录声明函、无不良信用记录声明函</w:t>
      </w:r>
    </w:p>
    <w:p>
      <w:pPr>
        <w:spacing w:before="240" w:beforeLines="100" w:after="240" w:afterLines="100" w:line="360" w:lineRule="auto"/>
        <w:ind w:firstLine="442" w:firstLineChars="20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(联合体参加谈判的，联合体双方均须提供）</w:t>
      </w:r>
    </w:p>
    <w:p>
      <w:pPr>
        <w:pStyle w:val="68"/>
        <w:tabs>
          <w:tab w:val="left" w:pos="1062"/>
        </w:tabs>
        <w:spacing w:before="158" w:line="360" w:lineRule="auto"/>
        <w:ind w:left="0" w:right="356"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1.</w:t>
      </w:r>
      <w:r>
        <w:rPr>
          <w:rFonts w:hint="eastAsia"/>
          <w:color w:val="000000" w:themeColor="text1"/>
          <w:sz w:val="21"/>
          <w:szCs w:val="21"/>
          <w14:textFill>
            <w14:solidFill>
              <w14:schemeClr w14:val="tx1"/>
            </w14:solidFill>
          </w14:textFill>
        </w:rPr>
        <w:t>本单位郑重声明，</w:t>
      </w:r>
      <w:r>
        <w:rPr>
          <w:rFonts w:hint="eastAsia"/>
          <w:color w:val="000000" w:themeColor="text1"/>
          <w:sz w:val="21"/>
          <w:szCs w:val="21"/>
          <w:lang w:val="en-US"/>
          <w14:textFill>
            <w14:solidFill>
              <w14:schemeClr w14:val="tx1"/>
            </w14:solidFill>
          </w14:textFill>
        </w:rPr>
        <w:t>参照</w:t>
      </w:r>
      <w:r>
        <w:rPr>
          <w:rFonts w:hint="eastAsia"/>
          <w:color w:val="000000" w:themeColor="text1"/>
          <w:sz w:val="21"/>
          <w:szCs w:val="21"/>
          <w14:textFill>
            <w14:solidFill>
              <w14:schemeClr w14:val="tx1"/>
            </w14:solidFill>
          </w14:textFill>
        </w:rPr>
        <w:t>《中华人民共和国</w:t>
      </w:r>
      <w:r>
        <w:rPr>
          <w:rFonts w:hint="eastAsia"/>
          <w:color w:val="000000" w:themeColor="text1"/>
          <w:sz w:val="21"/>
          <w:szCs w:val="21"/>
          <w:lang w:val="en-US"/>
          <w14:textFill>
            <w14:solidFill>
              <w14:schemeClr w14:val="tx1"/>
            </w14:solidFill>
          </w14:textFill>
        </w:rPr>
        <w:t>政府</w:t>
      </w:r>
      <w:r>
        <w:rPr>
          <w:rFonts w:hint="eastAsia"/>
          <w:color w:val="000000" w:themeColor="text1"/>
          <w:sz w:val="21"/>
          <w:szCs w:val="21"/>
          <w14:textFill>
            <w14:solidFill>
              <w14:schemeClr w14:val="tx1"/>
            </w14:solidFill>
          </w14:textFill>
        </w:rPr>
        <w:t>采购法》及《中华人民共和国</w:t>
      </w:r>
      <w:r>
        <w:rPr>
          <w:rFonts w:hint="eastAsia"/>
          <w:color w:val="000000" w:themeColor="text1"/>
          <w:sz w:val="21"/>
          <w:szCs w:val="21"/>
          <w:lang w:val="en-US"/>
          <w14:textFill>
            <w14:solidFill>
              <w14:schemeClr w14:val="tx1"/>
            </w14:solidFill>
          </w14:textFill>
        </w:rPr>
        <w:t>政府</w:t>
      </w:r>
      <w:r>
        <w:rPr>
          <w:rFonts w:hint="eastAsia"/>
          <w:color w:val="000000" w:themeColor="text1"/>
          <w:sz w:val="21"/>
          <w:szCs w:val="21"/>
          <w14:textFill>
            <w14:solidFill>
              <w14:schemeClr w14:val="tx1"/>
            </w14:solidFill>
          </w14:textFill>
        </w:rPr>
        <w:t>采购法实施条例》的规定，参加采购活动前三年内，本单位在经营活动中没有重大违法记录，没有因违法经营受到刑事处罚或者责令停产停业、吊销许可证或者执照、较大数额罚款等行政处罚，且未在被禁止参加采购活动的处罚期限内。</w:t>
      </w:r>
    </w:p>
    <w:p>
      <w:pPr>
        <w:pStyle w:val="68"/>
        <w:tabs>
          <w:tab w:val="left" w:pos="1062"/>
        </w:tabs>
        <w:spacing w:before="3" w:line="360" w:lineRule="auto"/>
        <w:ind w:left="0"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2.</w:t>
      </w:r>
      <w:r>
        <w:rPr>
          <w:rFonts w:hint="eastAsia"/>
          <w:color w:val="000000" w:themeColor="text1"/>
          <w:sz w:val="21"/>
          <w:szCs w:val="21"/>
          <w14:textFill>
            <w14:solidFill>
              <w14:schemeClr w14:val="tx1"/>
            </w14:solidFill>
          </w14:textFill>
        </w:rPr>
        <w:t>本单位郑重声明，我单位无以下不良信用记录情形：</w:t>
      </w:r>
    </w:p>
    <w:p>
      <w:pPr>
        <w:pStyle w:val="68"/>
        <w:tabs>
          <w:tab w:val="left" w:pos="1062"/>
        </w:tabs>
        <w:spacing w:before="158" w:line="360" w:lineRule="auto"/>
        <w:ind w:left="0" w:right="356" w:firstLine="420" w:firstLineChars="200"/>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（1）被人民法院列入失信被执行人；</w:t>
      </w:r>
    </w:p>
    <w:p>
      <w:pPr>
        <w:pStyle w:val="68"/>
        <w:tabs>
          <w:tab w:val="left" w:pos="1062"/>
        </w:tabs>
        <w:spacing w:before="158" w:line="360" w:lineRule="auto"/>
        <w:ind w:left="0" w:right="356" w:firstLine="420" w:firstLineChars="200"/>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（2）单位、法定代表人或拟派项目经理（项目负责人）被人民检察院列入行贿犯罪档案；</w:t>
      </w:r>
    </w:p>
    <w:p>
      <w:pPr>
        <w:pStyle w:val="68"/>
        <w:tabs>
          <w:tab w:val="left" w:pos="1062"/>
        </w:tabs>
        <w:spacing w:before="158" w:line="360" w:lineRule="auto"/>
        <w:ind w:left="0" w:right="356" w:firstLine="420" w:firstLineChars="200"/>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（3）被工商行政管理部门列入企业经营异常名录；</w:t>
      </w:r>
    </w:p>
    <w:p>
      <w:pPr>
        <w:pStyle w:val="68"/>
        <w:tabs>
          <w:tab w:val="left" w:pos="1062"/>
        </w:tabs>
        <w:spacing w:before="158" w:line="360" w:lineRule="auto"/>
        <w:ind w:left="0" w:right="356" w:firstLine="420" w:firstLineChars="200"/>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（4）被税务部门列入重大税收违法案件当事人名单；</w:t>
      </w:r>
    </w:p>
    <w:p>
      <w:pPr>
        <w:pStyle w:val="68"/>
        <w:tabs>
          <w:tab w:val="left" w:pos="1062"/>
        </w:tabs>
        <w:spacing w:before="158" w:line="360" w:lineRule="auto"/>
        <w:ind w:left="0" w:right="356" w:firstLine="420" w:firstLineChars="200"/>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（5）被采购监管部门列入采购严重违法失信行为记录名单。</w:t>
      </w:r>
    </w:p>
    <w:p>
      <w:pPr>
        <w:pStyle w:val="68"/>
        <w:tabs>
          <w:tab w:val="left" w:pos="1062"/>
        </w:tabs>
        <w:spacing w:before="158" w:line="360" w:lineRule="auto"/>
        <w:ind w:left="0" w:right="356"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3.</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pStyle w:val="16"/>
        <w:spacing w:before="11" w:line="360" w:lineRule="auto"/>
        <w:rPr>
          <w:color w:val="000000" w:themeColor="text1"/>
          <w:sz w:val="21"/>
          <w:szCs w:val="21"/>
          <w14:textFill>
            <w14:solidFill>
              <w14:schemeClr w14:val="tx1"/>
            </w14:solidFill>
          </w14:textFill>
        </w:rPr>
      </w:pPr>
    </w:p>
    <w:p>
      <w:pPr>
        <w:pStyle w:val="16"/>
        <w:spacing w:before="66" w:line="360" w:lineRule="auto"/>
        <w:ind w:left="7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本单位对上述声明的真实性负责。如有虚假，将依法承担相应责任。</w:t>
      </w:r>
    </w:p>
    <w:p>
      <w:pPr>
        <w:pStyle w:val="16"/>
        <w:tabs>
          <w:tab w:val="left" w:pos="5501"/>
          <w:tab w:val="left" w:pos="8556"/>
        </w:tabs>
        <w:spacing w:before="161" w:line="360" w:lineRule="auto"/>
        <w:ind w:left="4061" w:right="327"/>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供应商签章：</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 xml:space="preserve"> </w:t>
      </w:r>
    </w:p>
    <w:p>
      <w:pPr>
        <w:pStyle w:val="16"/>
        <w:tabs>
          <w:tab w:val="left" w:pos="5501"/>
          <w:tab w:val="left" w:pos="8556"/>
        </w:tabs>
        <w:spacing w:before="161" w:line="360" w:lineRule="auto"/>
        <w:ind w:left="4061" w:right="327"/>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日</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期：</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lang w:val="en-US"/>
          <w14:textFill>
            <w14:solidFill>
              <w14:schemeClr w14:val="tx1"/>
            </w14:solidFill>
          </w14:textFill>
        </w:rPr>
        <w:t xml:space="preserve"> </w:t>
      </w:r>
    </w:p>
    <w:p>
      <w:pPr>
        <w:widowControl/>
        <w:autoSpaceDE/>
        <w:autoSpaceDN/>
        <w:spacing w:line="360" w:lineRule="auto"/>
        <w:rPr>
          <w:color w:val="000000" w:themeColor="text1"/>
          <w:sz w:val="21"/>
          <w:szCs w:val="21"/>
          <w14:textFill>
            <w14:solidFill>
              <w14:schemeClr w14:val="tx1"/>
            </w14:solidFill>
          </w14:textFill>
        </w:rPr>
        <w:sectPr>
          <w:pgSz w:w="11910" w:h="16840"/>
          <w:pgMar w:top="1380" w:right="1440" w:bottom="1580" w:left="1580" w:header="890" w:footer="1363" w:gutter="0"/>
          <w:cols w:space="720" w:num="1"/>
        </w:sectPr>
      </w:pPr>
    </w:p>
    <w:p>
      <w:pPr>
        <w:pStyle w:val="16"/>
        <w:spacing w:before="8" w:line="360" w:lineRule="auto"/>
        <w:rPr>
          <w:b/>
          <w:bCs/>
          <w:color w:val="000000" w:themeColor="text1"/>
          <w14:textFill>
            <w14:solidFill>
              <w14:schemeClr w14:val="tx1"/>
            </w14:solidFill>
          </w14:textFill>
        </w:rPr>
      </w:pPr>
    </w:p>
    <w:p>
      <w:pPr>
        <w:jc w:val="center"/>
        <w:outlineLvl w:val="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六、法定代表人授权委托书</w:t>
      </w:r>
    </w:p>
    <w:p>
      <w:pPr>
        <w:pStyle w:val="16"/>
        <w:spacing w:before="5" w:line="360" w:lineRule="auto"/>
        <w:rPr>
          <w:b/>
          <w:color w:val="000000" w:themeColor="text1"/>
          <w:sz w:val="21"/>
          <w:szCs w:val="21"/>
          <w14:textFill>
            <w14:solidFill>
              <w14:schemeClr w14:val="tx1"/>
            </w14:solidFill>
          </w14:textFill>
        </w:rPr>
      </w:pPr>
    </w:p>
    <w:p>
      <w:pPr>
        <w:spacing w:line="360" w:lineRule="auto"/>
        <w:ind w:firstLine="64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本授权书声明：</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公司（工厂）（纳税人识别号：</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）的</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（法人代表姓名、职务）代表本公司（工厂）授权本公司（工厂）</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（被授权人的姓名、职务）为本公司（工厂）的合法代理人，参加</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采购项目活动（项目编号</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全权代表本公司处理谈判过程的一切事宜，包括但不限于：谈判、签约等。供应商代表在谈判过程中所签署的一切文件和处理与之有关的一切事务，本公司均予以认可并对此承担责任。被授权人无转委托权。特此授权。</w:t>
      </w:r>
    </w:p>
    <w:p>
      <w:pPr>
        <w:spacing w:line="360" w:lineRule="auto"/>
        <w:ind w:firstLine="64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本授权书自出具之日起生效。</w:t>
      </w:r>
    </w:p>
    <w:p>
      <w:pPr>
        <w:spacing w:line="360" w:lineRule="auto"/>
        <w:ind w:firstLine="64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特此声明。</w:t>
      </w:r>
    </w:p>
    <w:p>
      <w:pPr>
        <w:spacing w:line="360" w:lineRule="auto"/>
        <w:ind w:firstLine="645"/>
        <w:rPr>
          <w:color w:val="000000" w:themeColor="text1"/>
          <w:sz w:val="21"/>
          <w:szCs w:val="21"/>
          <w14:textFill>
            <w14:solidFill>
              <w14:schemeClr w14:val="tx1"/>
            </w14:solidFill>
          </w14:textFill>
        </w:rPr>
      </w:pPr>
    </w:p>
    <w:p>
      <w:pPr>
        <w:spacing w:line="360" w:lineRule="auto"/>
        <w:ind w:firstLine="64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法定代表人联系方式：</w:t>
      </w:r>
      <w:r>
        <w:rPr>
          <w:rFonts w:hint="eastAsia"/>
          <w:color w:val="000000" w:themeColor="text1"/>
          <w:sz w:val="21"/>
          <w:szCs w:val="21"/>
          <w:u w:val="single"/>
          <w14:textFill>
            <w14:solidFill>
              <w14:schemeClr w14:val="tx1"/>
            </w14:solidFill>
          </w14:textFill>
        </w:rPr>
        <w:t xml:space="preserve">（手机号码）       </w:t>
      </w:r>
    </w:p>
    <w:p>
      <w:pPr>
        <w:spacing w:line="360" w:lineRule="auto"/>
        <w:ind w:firstLine="64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授权委托人联系方式：</w:t>
      </w:r>
      <w:r>
        <w:rPr>
          <w:rFonts w:hint="eastAsia"/>
          <w:color w:val="000000" w:themeColor="text1"/>
          <w:sz w:val="21"/>
          <w:szCs w:val="21"/>
          <w:u w:val="single"/>
          <w14:textFill>
            <w14:solidFill>
              <w14:schemeClr w14:val="tx1"/>
            </w14:solidFill>
          </w14:textFill>
        </w:rPr>
        <w:t xml:space="preserve">（手机号码）       </w:t>
      </w:r>
    </w:p>
    <w:p>
      <w:pPr>
        <w:spacing w:line="360" w:lineRule="auto"/>
        <w:ind w:firstLine="645"/>
        <w:rPr>
          <w:color w:val="000000" w:themeColor="text1"/>
          <w:sz w:val="21"/>
          <w:szCs w:val="21"/>
          <w14:textFill>
            <w14:solidFill>
              <w14:schemeClr w14:val="tx1"/>
            </w14:solidFill>
          </w14:textFill>
        </w:rPr>
      </w:pPr>
    </w:p>
    <w:p>
      <w:pPr>
        <w:spacing w:line="360" w:lineRule="auto"/>
        <w:ind w:firstLine="645"/>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法人代表签字或盖章：</w:t>
      </w:r>
      <w:r>
        <w:rPr>
          <w:rFonts w:hint="eastAsia"/>
          <w:color w:val="000000" w:themeColor="text1"/>
          <w:sz w:val="21"/>
          <w:szCs w:val="21"/>
          <w:u w:val="single"/>
          <w14:textFill>
            <w14:solidFill>
              <w14:schemeClr w14:val="tx1"/>
            </w14:solidFill>
          </w14:textFill>
        </w:rPr>
        <w:t xml:space="preserve">                    </w:t>
      </w:r>
    </w:p>
    <w:p>
      <w:pPr>
        <w:spacing w:line="360" w:lineRule="auto"/>
        <w:ind w:firstLine="64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代理人（被授权人）签字或盖章：</w:t>
      </w:r>
      <w:r>
        <w:rPr>
          <w:rFonts w:hint="eastAsia"/>
          <w:color w:val="000000" w:themeColor="text1"/>
          <w:sz w:val="21"/>
          <w:szCs w:val="21"/>
          <w:u w:val="single"/>
          <w14:textFill>
            <w14:solidFill>
              <w14:schemeClr w14:val="tx1"/>
            </w14:solidFill>
          </w14:textFill>
        </w:rPr>
        <w:t xml:space="preserve">              </w:t>
      </w:r>
    </w:p>
    <w:p>
      <w:pPr>
        <w:spacing w:line="360" w:lineRule="auto"/>
        <w:ind w:firstLine="64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投标人签章：</w:t>
      </w:r>
      <w:r>
        <w:rPr>
          <w:rFonts w:hint="eastAsia"/>
          <w:color w:val="000000" w:themeColor="text1"/>
          <w:sz w:val="21"/>
          <w:szCs w:val="21"/>
          <w:u w:val="single"/>
          <w14:textFill>
            <w14:solidFill>
              <w14:schemeClr w14:val="tx1"/>
            </w14:solidFill>
          </w14:textFill>
        </w:rPr>
        <w:t xml:space="preserve">                       </w:t>
      </w:r>
    </w:p>
    <w:p>
      <w:pPr>
        <w:spacing w:line="360" w:lineRule="auto"/>
        <w:ind w:firstLine="64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授权委托日期：</w:t>
      </w:r>
      <w:r>
        <w:rPr>
          <w:rFonts w:hint="eastAsia"/>
          <w:color w:val="000000" w:themeColor="text1"/>
          <w:sz w:val="21"/>
          <w:szCs w:val="21"/>
          <w:u w:val="single"/>
          <w14:textFill>
            <w14:solidFill>
              <w14:schemeClr w14:val="tx1"/>
            </w14:solidFill>
          </w14:textFill>
        </w:rPr>
        <w:t xml:space="preserve">                 </w:t>
      </w:r>
    </w:p>
    <w:p>
      <w:pPr>
        <w:spacing w:line="360" w:lineRule="auto"/>
        <w:rPr>
          <w:rFonts w:cs="Arial"/>
          <w:b/>
          <w:color w:val="000000" w:themeColor="text1"/>
          <w:sz w:val="21"/>
          <w:szCs w:val="21"/>
          <w:highlight w:val="yellow"/>
          <w14:textFill>
            <w14:solidFill>
              <w14:schemeClr w14:val="tx1"/>
            </w14:solidFill>
          </w14:textFill>
        </w:rPr>
      </w:pPr>
    </w:p>
    <w:p>
      <w:pPr>
        <w:pStyle w:val="16"/>
        <w:spacing w:before="66"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w:t>
      </w:r>
    </w:p>
    <w:p>
      <w:pPr>
        <w:pStyle w:val="68"/>
        <w:numPr>
          <w:ilvl w:val="0"/>
          <w:numId w:val="19"/>
        </w:numPr>
        <w:tabs>
          <w:tab w:val="left" w:pos="896"/>
        </w:tabs>
        <w:spacing w:before="161" w:line="360" w:lineRule="auto"/>
        <w:ind w:hanging="24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本项目只允许有唯一的供应商授权代表，提供身份证明扫描件；</w:t>
      </w:r>
    </w:p>
    <w:p>
      <w:pPr>
        <w:pStyle w:val="68"/>
        <w:numPr>
          <w:ilvl w:val="0"/>
          <w:numId w:val="19"/>
        </w:numPr>
        <w:tabs>
          <w:tab w:val="left" w:pos="896"/>
        </w:tabs>
        <w:spacing w:before="161" w:line="360" w:lineRule="auto"/>
        <w:ind w:hanging="24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法定代表人参加谈判的无需提供授权书，提供身份证明扫描件。</w:t>
      </w:r>
    </w:p>
    <w:p>
      <w:pPr>
        <w:widowControl/>
        <w:autoSpaceDE/>
        <w:autoSpaceDN/>
        <w:spacing w:line="360" w:lineRule="auto"/>
        <w:rPr>
          <w:color w:val="000000" w:themeColor="text1"/>
          <w:sz w:val="21"/>
          <w:szCs w:val="21"/>
          <w14:textFill>
            <w14:solidFill>
              <w14:schemeClr w14:val="tx1"/>
            </w14:solidFill>
          </w14:textFill>
        </w:rPr>
        <w:sectPr>
          <w:pgSz w:w="11910" w:h="16840"/>
          <w:pgMar w:top="1380" w:right="1440" w:bottom="1580" w:left="1580" w:header="890" w:footer="1363" w:gutter="0"/>
          <w:cols w:space="720" w:num="1"/>
        </w:sectPr>
      </w:pPr>
    </w:p>
    <w:p>
      <w:pPr>
        <w:pStyle w:val="5"/>
        <w:keepNext w:val="0"/>
        <w:keepLines w:val="0"/>
        <w:autoSpaceDE w:val="0"/>
        <w:autoSpaceDN w:val="0"/>
        <w:spacing w:before="0" w:after="0" w:line="240" w:lineRule="auto"/>
        <w:jc w:val="center"/>
        <w:rPr>
          <w:rFonts w:ascii="宋体" w:hAnsi="宋体" w:cs="宋体"/>
          <w:color w:val="000000" w:themeColor="text1"/>
          <w:sz w:val="24"/>
          <w:szCs w:val="24"/>
          <w:lang w:bidi="zh-CN"/>
          <w14:textFill>
            <w14:solidFill>
              <w14:schemeClr w14:val="tx1"/>
            </w14:solidFill>
          </w14:textFill>
        </w:rPr>
      </w:pPr>
      <w:r>
        <w:rPr>
          <w:rFonts w:hint="eastAsia" w:ascii="宋体" w:hAnsi="宋体" w:cs="宋体"/>
          <w:color w:val="000000" w:themeColor="text1"/>
          <w:sz w:val="24"/>
          <w:szCs w:val="24"/>
          <w:lang w:bidi="zh-CN"/>
          <w14:textFill>
            <w14:solidFill>
              <w14:schemeClr w14:val="tx1"/>
            </w14:solidFill>
          </w14:textFill>
        </w:rPr>
        <w:t>七、法定代表人身份证明书</w:t>
      </w:r>
    </w:p>
    <w:p>
      <w:pPr>
        <w:pStyle w:val="16"/>
        <w:spacing w:line="360" w:lineRule="auto"/>
        <w:rPr>
          <w:b/>
          <w:color w:val="000000" w:themeColor="text1"/>
          <w:sz w:val="21"/>
          <w:szCs w:val="21"/>
          <w14:textFill>
            <w14:solidFill>
              <w14:schemeClr w14:val="tx1"/>
            </w14:solidFill>
          </w14:textFill>
        </w:rPr>
      </w:pPr>
    </w:p>
    <w:p>
      <w:pPr>
        <w:pStyle w:val="16"/>
        <w:spacing w:before="12" w:line="360" w:lineRule="auto"/>
        <w:rPr>
          <w:b/>
          <w:color w:val="000000" w:themeColor="text1"/>
          <w:sz w:val="21"/>
          <w:szCs w:val="21"/>
          <w14:textFill>
            <w14:solidFill>
              <w14:schemeClr w14:val="tx1"/>
            </w14:solidFill>
          </w14:textFill>
        </w:rPr>
      </w:pPr>
    </w:p>
    <w:p>
      <w:pPr>
        <w:pStyle w:val="16"/>
        <w:tabs>
          <w:tab w:val="left" w:pos="1420"/>
          <w:tab w:val="left" w:pos="3580"/>
          <w:tab w:val="left" w:pos="4115"/>
          <w:tab w:val="left" w:pos="4901"/>
          <w:tab w:val="left" w:pos="6101"/>
          <w:tab w:val="left" w:pos="6396"/>
          <w:tab w:val="left" w:pos="6516"/>
        </w:tabs>
        <w:spacing w:line="360" w:lineRule="auto"/>
        <w:ind w:left="700" w:right="2368"/>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单位名称：</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单位性质：</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地</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址：</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成立时间：</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年</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月</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日经营期限：</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姓</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名：</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性别：</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年</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龄：</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职务：</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ab/>
      </w:r>
    </w:p>
    <w:p>
      <w:pPr>
        <w:pStyle w:val="16"/>
        <w:tabs>
          <w:tab w:val="left" w:pos="1660"/>
          <w:tab w:val="left" w:pos="2140"/>
          <w:tab w:val="left" w:pos="2500"/>
          <w:tab w:val="left" w:pos="5501"/>
        </w:tabs>
        <w:spacing w:line="360" w:lineRule="auto"/>
        <w:ind w:left="700"/>
        <w:rPr>
          <w:color w:val="000000" w:themeColor="text1"/>
          <w:sz w:val="21"/>
          <w:szCs w:val="21"/>
          <w14:textFill>
            <w14:solidFill>
              <w14:schemeClr w14:val="tx1"/>
            </w14:solidFill>
          </w14:textFill>
        </w:rPr>
      </w:pP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系</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（供应商单位名称）</w:t>
      </w:r>
      <w:r>
        <w:rPr>
          <w:rFonts w:hint="eastAsia"/>
          <w:color w:val="000000" w:themeColor="text1"/>
          <w:sz w:val="21"/>
          <w:szCs w:val="21"/>
          <w:u w:val="single"/>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的法定代表人。</w:t>
      </w:r>
    </w:p>
    <w:p>
      <w:pPr>
        <w:pStyle w:val="16"/>
        <w:spacing w:line="360" w:lineRule="auto"/>
        <w:rPr>
          <w:color w:val="000000" w:themeColor="text1"/>
          <w:sz w:val="21"/>
          <w:szCs w:val="21"/>
          <w14:textFill>
            <w14:solidFill>
              <w14:schemeClr w14:val="tx1"/>
            </w14:solidFill>
          </w14:textFill>
        </w:rPr>
      </w:pPr>
    </w:p>
    <w:p>
      <w:pPr>
        <w:pStyle w:val="16"/>
        <w:spacing w:before="2" w:line="360" w:lineRule="auto"/>
        <w:rPr>
          <w:color w:val="000000" w:themeColor="text1"/>
          <w:sz w:val="21"/>
          <w:szCs w:val="21"/>
          <w14:textFill>
            <w14:solidFill>
              <w14:schemeClr w14:val="tx1"/>
            </w14:solidFill>
          </w14:textFill>
        </w:rPr>
      </w:pPr>
    </w:p>
    <w:p>
      <w:pPr>
        <w:pStyle w:val="16"/>
        <w:spacing w:before="1" w:line="360" w:lineRule="auto"/>
        <w:ind w:left="8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特此证明。</w:t>
      </w:r>
    </w:p>
    <w:p>
      <w:pPr>
        <w:pStyle w:val="16"/>
        <w:spacing w:line="360" w:lineRule="auto"/>
        <w:rPr>
          <w:color w:val="000000" w:themeColor="text1"/>
          <w:sz w:val="21"/>
          <w:szCs w:val="21"/>
          <w14:textFill>
            <w14:solidFill>
              <w14:schemeClr w14:val="tx1"/>
            </w14:solidFill>
          </w14:textFill>
        </w:rPr>
      </w:pPr>
    </w:p>
    <w:p>
      <w:pPr>
        <w:pStyle w:val="16"/>
        <w:spacing w:line="360" w:lineRule="auto"/>
        <w:rPr>
          <w:color w:val="000000" w:themeColor="text1"/>
          <w:sz w:val="21"/>
          <w:szCs w:val="21"/>
          <w14:textFill>
            <w14:solidFill>
              <w14:schemeClr w14:val="tx1"/>
            </w14:solidFill>
          </w14:textFill>
        </w:rPr>
      </w:pPr>
    </w:p>
    <w:p>
      <w:pPr>
        <w:pStyle w:val="16"/>
        <w:tabs>
          <w:tab w:val="left" w:pos="5501"/>
          <w:tab w:val="left" w:pos="8556"/>
        </w:tabs>
        <w:spacing w:before="195" w:line="360" w:lineRule="auto"/>
        <w:ind w:left="4061" w:right="327"/>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供应商签章：</w:t>
      </w:r>
      <w:r>
        <w:rPr>
          <w:rFonts w:hint="eastAsia"/>
          <w:color w:val="000000" w:themeColor="text1"/>
          <w:sz w:val="21"/>
          <w:szCs w:val="21"/>
          <w:u w:val="single"/>
          <w14:textFill>
            <w14:solidFill>
              <w14:schemeClr w14:val="tx1"/>
            </w14:solidFill>
          </w14:textFill>
        </w:rPr>
        <w:t xml:space="preserve"> </w:t>
      </w:r>
      <w:r>
        <w:rPr>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 xml:space="preserve"> </w:t>
      </w:r>
    </w:p>
    <w:p>
      <w:pPr>
        <w:pStyle w:val="16"/>
        <w:tabs>
          <w:tab w:val="left" w:pos="5501"/>
          <w:tab w:val="left" w:pos="8556"/>
        </w:tabs>
        <w:spacing w:before="195" w:line="360" w:lineRule="auto"/>
        <w:ind w:left="4061" w:right="327"/>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日</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期：</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lang w:val="en-US"/>
          <w14:textFill>
            <w14:solidFill>
              <w14:schemeClr w14:val="tx1"/>
            </w14:solidFill>
          </w14:textFill>
        </w:rPr>
        <w:t xml:space="preserve">                             </w:t>
      </w:r>
    </w:p>
    <w:p>
      <w:pPr>
        <w:widowControl/>
        <w:autoSpaceDE/>
        <w:autoSpaceDN/>
        <w:spacing w:line="360" w:lineRule="auto"/>
        <w:rPr>
          <w:color w:val="000000" w:themeColor="text1"/>
          <w:sz w:val="21"/>
          <w:szCs w:val="21"/>
          <w14:textFill>
            <w14:solidFill>
              <w14:schemeClr w14:val="tx1"/>
            </w14:solidFill>
          </w14:textFill>
        </w:rPr>
        <w:sectPr>
          <w:pgSz w:w="11910" w:h="16840"/>
          <w:pgMar w:top="1380" w:right="1440" w:bottom="1580" w:left="1580" w:header="890" w:footer="1363" w:gutter="0"/>
          <w:cols w:space="720" w:num="1"/>
        </w:sectPr>
      </w:pPr>
    </w:p>
    <w:p>
      <w:pPr>
        <w:pStyle w:val="16"/>
        <w:spacing w:before="8" w:line="360" w:lineRule="auto"/>
        <w:rPr>
          <w:strike/>
          <w:color w:val="000000" w:themeColor="text1"/>
          <w:sz w:val="21"/>
          <w:szCs w:val="21"/>
          <w14:textFill>
            <w14:solidFill>
              <w14:schemeClr w14:val="tx1"/>
            </w14:solidFill>
          </w14:textFill>
        </w:rPr>
      </w:pPr>
    </w:p>
    <w:p>
      <w:pPr>
        <w:pStyle w:val="5"/>
        <w:keepNext w:val="0"/>
        <w:keepLines w:val="0"/>
        <w:autoSpaceDE w:val="0"/>
        <w:autoSpaceDN w:val="0"/>
        <w:spacing w:before="0" w:after="0" w:line="240" w:lineRule="auto"/>
        <w:jc w:val="center"/>
        <w:rPr>
          <w:rFonts w:ascii="宋体" w:hAnsi="宋体" w:cs="宋体"/>
          <w:color w:val="000000" w:themeColor="text1"/>
          <w:sz w:val="24"/>
          <w:szCs w:val="24"/>
          <w:lang w:bidi="zh-CN"/>
          <w14:textFill>
            <w14:solidFill>
              <w14:schemeClr w14:val="tx1"/>
            </w14:solidFill>
          </w14:textFill>
        </w:rPr>
      </w:pPr>
      <w:r>
        <w:rPr>
          <w:rFonts w:hint="eastAsia" w:ascii="宋体" w:hAnsi="宋体" w:cs="宋体"/>
          <w:color w:val="000000" w:themeColor="text1"/>
          <w:sz w:val="24"/>
          <w:szCs w:val="24"/>
          <w:lang w:bidi="zh-CN"/>
          <w14:textFill>
            <w14:solidFill>
              <w14:schemeClr w14:val="tx1"/>
            </w14:solidFill>
          </w14:textFill>
        </w:rPr>
        <w:t>八、联合体协议</w:t>
      </w:r>
    </w:p>
    <w:p>
      <w:pPr>
        <w:pStyle w:val="16"/>
        <w:spacing w:before="10" w:line="360" w:lineRule="auto"/>
        <w:rPr>
          <w:b/>
          <w:color w:val="000000" w:themeColor="text1"/>
          <w:sz w:val="21"/>
          <w:szCs w:val="21"/>
          <w14:textFill>
            <w14:solidFill>
              <w14:schemeClr w14:val="tx1"/>
            </w14:solidFill>
          </w14:textFill>
        </w:rPr>
      </w:pPr>
    </w:p>
    <w:p>
      <w:pPr>
        <w:spacing w:before="156" w:beforeLines="50" w:after="156" w:afterLines="50" w:line="360" w:lineRule="auto"/>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（不允许联合体参加谈判或未组成联合体的，不需此件；允许联合体参加谈判且供应商为联合体参加谈判的，请将此件加盖公章后制成扫描件上传。）</w:t>
      </w:r>
    </w:p>
    <w:p>
      <w:pPr>
        <w:pStyle w:val="16"/>
        <w:spacing w:line="360" w:lineRule="auto"/>
        <w:rPr>
          <w:color w:val="000000" w:themeColor="text1"/>
          <w:sz w:val="21"/>
          <w:szCs w:val="21"/>
          <w14:textFill>
            <w14:solidFill>
              <w14:schemeClr w14:val="tx1"/>
            </w14:solidFill>
          </w14:textFill>
        </w:rPr>
      </w:pPr>
    </w:p>
    <w:p>
      <w:pPr>
        <w:pStyle w:val="16"/>
        <w:tabs>
          <w:tab w:val="left" w:pos="5575"/>
        </w:tabs>
        <w:spacing w:before="171" w:line="360" w:lineRule="auto"/>
        <w:ind w:left="654" w:right="3068"/>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联合体成员一名称：</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 联合体成员二名称：</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pPr>
        <w:pStyle w:val="16"/>
        <w:spacing w:before="2" w:line="360" w:lineRule="auto"/>
        <w:ind w:left="654"/>
        <w:rPr>
          <w:color w:val="000000" w:themeColor="text1"/>
          <w:sz w:val="21"/>
          <w:szCs w:val="21"/>
          <w14:textFill>
            <w14:solidFill>
              <w14:schemeClr w14:val="tx1"/>
            </w14:solidFill>
          </w14:textFill>
        </w:rPr>
      </w:pPr>
      <w:r>
        <w:rPr>
          <w:rFonts w:hint="eastAsia"/>
          <w:color w:val="000000" w:themeColor="text1"/>
          <w:w w:val="200"/>
          <w:sz w:val="21"/>
          <w:szCs w:val="21"/>
          <w14:textFill>
            <w14:solidFill>
              <w14:schemeClr w14:val="tx1"/>
            </w14:solidFill>
          </w14:textFill>
        </w:rPr>
        <w:t>„„</w:t>
      </w:r>
    </w:p>
    <w:p>
      <w:pPr>
        <w:pStyle w:val="16"/>
        <w:spacing w:before="161" w:line="360" w:lineRule="auto"/>
        <w:ind w:left="220" w:right="240" w:firstLine="43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上述各成员单位经过友好协商，自愿组成联合体，共同参加本项目的谈判， 现就联合体参加谈判事宜订立如下协议：</w:t>
      </w:r>
    </w:p>
    <w:p>
      <w:pPr>
        <w:pStyle w:val="68"/>
        <w:numPr>
          <w:ilvl w:val="0"/>
          <w:numId w:val="20"/>
        </w:numPr>
        <w:tabs>
          <w:tab w:val="left" w:pos="2816"/>
        </w:tabs>
        <w:spacing w:before="1" w:line="360" w:lineRule="auto"/>
        <w:ind w:hanging="2162"/>
        <w:rPr>
          <w:color w:val="000000" w:themeColor="text1"/>
          <w:sz w:val="21"/>
          <w:szCs w:val="21"/>
          <w14:textFill>
            <w14:solidFill>
              <w14:schemeClr w14:val="tx1"/>
            </w14:solidFill>
          </w14:textFill>
        </w:rPr>
      </w:pPr>
      <w:r>
        <w:rPr>
          <w:rFonts w:hint="eastAsia"/>
          <w:color w:val="000000" w:themeColor="text1"/>
          <w:lang w:val="en-US"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1571625</wp:posOffset>
                </wp:positionH>
                <wp:positionV relativeFrom="paragraph">
                  <wp:posOffset>177800</wp:posOffset>
                </wp:positionV>
                <wp:extent cx="1219200" cy="0"/>
                <wp:effectExtent l="0" t="0" r="19050" b="1905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wps:spPr>
                      <wps:bodyPr/>
                    </wps:wsp>
                  </a:graphicData>
                </a:graphic>
              </wp:anchor>
            </w:drawing>
          </mc:Choice>
          <mc:Fallback>
            <w:pict>
              <v:line id="_x0000_s1026" o:spid="_x0000_s1026" o:spt="20" style="position:absolute;left:0pt;margin-left:123.75pt;margin-top:14pt;height:0pt;width:96pt;mso-position-horizontal-relative:page;z-index:251659264;mso-width-relative:page;mso-height-relative:page;" filled="f" stroked="t" coordsize="21600,21600" o:gfxdata="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yLJwdYAAAAJAQAADwAAAAAAAAABACAAAAAiAAAAZHJzL2Rvd25yZXYueG1sUEsBAhQAFAAAAAgA&#10;h07iQIxf+P7uAQAAxQMAAA4AAAAAAAAAAQAgAAAAJQEAAGRycy9lMm9Eb2MueG1sUEsFBgAAAAAG&#10;AAYAWQEAAIUFAAAAAA==&#10;">
                <v:fill on="f" focussize="0,0"/>
                <v:stroke weight="0.6pt" color="#000000" joinstyle="round"/>
                <v:imagedata o:title=""/>
                <o:lock v:ext="edit" aspectratio="f"/>
              </v:line>
            </w:pict>
          </mc:Fallback>
        </mc:AlternateContent>
      </w:r>
      <w:r>
        <w:rPr>
          <w:rFonts w:hint="eastAsia"/>
          <w:color w:val="000000" w:themeColor="text1"/>
          <w:sz w:val="21"/>
          <w:szCs w:val="21"/>
          <w14:textFill>
            <w14:solidFill>
              <w14:schemeClr w14:val="tx1"/>
            </w14:solidFill>
          </w14:textFill>
        </w:rPr>
        <w:t>（某成员单位名称）为联合体牵头人。</w:t>
      </w:r>
    </w:p>
    <w:p>
      <w:pPr>
        <w:pStyle w:val="68"/>
        <w:numPr>
          <w:ilvl w:val="0"/>
          <w:numId w:val="20"/>
        </w:numPr>
        <w:tabs>
          <w:tab w:val="left" w:pos="898"/>
        </w:tabs>
        <w:spacing w:before="160" w:line="360" w:lineRule="auto"/>
        <w:ind w:left="220" w:right="237" w:firstLine="43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在本项目谈判阶段，联合体牵头人负责谈判项目的一切组织、协调工作， 并授权代理人以联合体的名义参加项目的谈判，代理人在谈判、合同签订过程中所签署的一切文件和处理与本次谈判有关的一切事务，联合体各方均予以承认并承担法律责任。联合体成交后，联合体各方共同与采购人签订合同，就本项目对采购人承担连带责任。</w:t>
      </w:r>
    </w:p>
    <w:p>
      <w:pPr>
        <w:pStyle w:val="68"/>
        <w:numPr>
          <w:ilvl w:val="0"/>
          <w:numId w:val="20"/>
        </w:numPr>
        <w:tabs>
          <w:tab w:val="left" w:pos="902"/>
        </w:tabs>
        <w:spacing w:before="4" w:line="360" w:lineRule="auto"/>
        <w:ind w:left="220" w:right="360" w:firstLine="43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联合体各成员单位内部的职责分工及各方负责内容的合同金额占总合同金额的百分比如下：</w:t>
      </w:r>
    </w:p>
    <w:p>
      <w:pPr>
        <w:pStyle w:val="16"/>
        <w:tabs>
          <w:tab w:val="left" w:pos="3580"/>
          <w:tab w:val="left" w:pos="3998"/>
          <w:tab w:val="left" w:pos="5902"/>
        </w:tabs>
        <w:spacing w:before="1" w:line="360" w:lineRule="auto"/>
        <w:ind w:left="220" w:right="359" w:firstLine="434"/>
        <w:rPr>
          <w:color w:val="000000" w:themeColor="text1"/>
          <w:sz w:val="21"/>
          <w:szCs w:val="21"/>
          <w14:textFill>
            <w14:solidFill>
              <w14:schemeClr w14:val="tx1"/>
            </w14:solidFill>
          </w14:textFill>
        </w:rPr>
      </w:pPr>
      <w:r>
        <w:rPr>
          <w:rFonts w:hint="eastAsia"/>
          <w:color w:val="000000" w:themeColor="text1"/>
          <w:lang w:val="en-US" w:bidi="ar-SA"/>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page">
                  <wp:posOffset>2780665</wp:posOffset>
                </wp:positionH>
                <wp:positionV relativeFrom="paragraph">
                  <wp:posOffset>177800</wp:posOffset>
                </wp:positionV>
                <wp:extent cx="762000" cy="0"/>
                <wp:effectExtent l="0" t="0" r="19050" b="1905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7620">
                          <a:solidFill>
                            <a:srgbClr val="000000"/>
                          </a:solidFill>
                          <a:prstDash val="solid"/>
                          <a:round/>
                        </a:ln>
                      </wps:spPr>
                      <wps:bodyPr/>
                    </wps:wsp>
                  </a:graphicData>
                </a:graphic>
              </wp:anchor>
            </w:drawing>
          </mc:Choice>
          <mc:Fallback>
            <w:pict>
              <v:line id="_x0000_s1026" o:spid="_x0000_s1026" o:spt="20" style="position:absolute;left:0pt;margin-left:218.95pt;margin-top:14pt;height:0pt;width:60pt;mso-position-horizontal-relative:page;z-index:-251656192;mso-width-relative:page;mso-height-relative:page;" filled="f" stroked="t" coordsize="21600,21600" o:gfxdata="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mX4u3W&#10;AAAACQEAAA8AAAAAAAAAAQAgAAAAIgAAAGRycy9kb3ducmV2LnhtbFBLAQIUABQAAAAIAIdO4kB3&#10;X7D76QEAAMQDAAAOAAAAAAAAAAEAIAAAACUBAABkcnMvZTJvRG9jLnhtbFBLBQYAAAAABgAGAFkB&#10;AACABQAAAAA=&#10;">
                <v:fill on="f" focussize="0,0"/>
                <v:stroke weight="0.6pt" color="#000000" joinstyle="round"/>
                <v:imagedata o:title=""/>
                <o:lock v:ext="edit" aspectratio="f"/>
              </v:line>
            </w:pict>
          </mc:Fallback>
        </mc:AlternateContent>
      </w:r>
      <w:r>
        <w:rPr>
          <w:rFonts w:hint="eastAsia"/>
          <w:color w:val="000000" w:themeColor="text1"/>
          <w:sz w:val="21"/>
          <w:szCs w:val="21"/>
          <w14:textFill>
            <w14:solidFill>
              <w14:schemeClr w14:val="tx1"/>
            </w14:solidFill>
          </w14:textFill>
        </w:rPr>
        <w:t>联合体成员一名称：</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，承担</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工作，负责内容的合同金额占总合同金额的百分比：</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pPr>
        <w:pStyle w:val="16"/>
        <w:tabs>
          <w:tab w:val="left" w:pos="3580"/>
          <w:tab w:val="left" w:pos="3998"/>
          <w:tab w:val="left" w:pos="5902"/>
        </w:tabs>
        <w:spacing w:before="1" w:line="360" w:lineRule="auto"/>
        <w:ind w:left="220" w:right="359" w:firstLine="43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联合体成员二名称：</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，承担</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工作，负责内容的合同金额占总合同金额的百分比：</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pPr>
        <w:pStyle w:val="16"/>
        <w:spacing w:before="2" w:line="360" w:lineRule="auto"/>
        <w:ind w:left="654"/>
        <w:rPr>
          <w:color w:val="000000" w:themeColor="text1"/>
          <w:sz w:val="21"/>
          <w:szCs w:val="21"/>
          <w14:textFill>
            <w14:solidFill>
              <w14:schemeClr w14:val="tx1"/>
            </w14:solidFill>
          </w14:textFill>
        </w:rPr>
      </w:pPr>
      <w:r>
        <w:rPr>
          <w:rFonts w:hint="eastAsia"/>
          <w:color w:val="000000" w:themeColor="text1"/>
          <w:w w:val="200"/>
          <w:sz w:val="21"/>
          <w:szCs w:val="21"/>
          <w14:textFill>
            <w14:solidFill>
              <w14:schemeClr w14:val="tx1"/>
            </w14:solidFill>
          </w14:textFill>
        </w:rPr>
        <w:t>„„„„</w:t>
      </w:r>
    </w:p>
    <w:p>
      <w:pPr>
        <w:pStyle w:val="68"/>
        <w:numPr>
          <w:ilvl w:val="0"/>
          <w:numId w:val="20"/>
        </w:numPr>
        <w:tabs>
          <w:tab w:val="left" w:pos="1020"/>
        </w:tabs>
        <w:spacing w:before="160" w:line="360" w:lineRule="auto"/>
        <w:ind w:left="220" w:right="362" w:firstLine="43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谈判工作和联合体在成交后项目实施过程中的有关费用按各自承担的工作量分摊。</w:t>
      </w:r>
    </w:p>
    <w:p>
      <w:pPr>
        <w:pStyle w:val="68"/>
        <w:numPr>
          <w:ilvl w:val="0"/>
          <w:numId w:val="20"/>
        </w:numPr>
        <w:tabs>
          <w:tab w:val="left" w:pos="1020"/>
        </w:tabs>
        <w:spacing w:before="2" w:line="360" w:lineRule="auto"/>
        <w:ind w:left="220" w:right="364" w:firstLine="43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联合体成交后，本联合体协议是合同的附件，对联合体各成员单位有合同约束力。</w:t>
      </w:r>
    </w:p>
    <w:p>
      <w:pPr>
        <w:pStyle w:val="68"/>
        <w:numPr>
          <w:ilvl w:val="0"/>
          <w:numId w:val="20"/>
        </w:numPr>
        <w:tabs>
          <w:tab w:val="left" w:pos="1020"/>
        </w:tabs>
        <w:spacing w:before="1" w:line="360" w:lineRule="auto"/>
        <w:ind w:left="220" w:right="356" w:firstLine="43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本协议书自签署之日起生效，联合体未成交或者合同履行完毕后自动失效。</w:t>
      </w:r>
    </w:p>
    <w:p>
      <w:pPr>
        <w:pStyle w:val="16"/>
        <w:tabs>
          <w:tab w:val="left" w:pos="5095"/>
        </w:tabs>
        <w:spacing w:before="139" w:line="360" w:lineRule="auto"/>
        <w:ind w:left="65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联合体成员一：</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（公章）</w:t>
      </w:r>
    </w:p>
    <w:p>
      <w:pPr>
        <w:pStyle w:val="16"/>
        <w:tabs>
          <w:tab w:val="left" w:pos="5095"/>
        </w:tabs>
        <w:spacing w:before="161" w:line="360" w:lineRule="auto"/>
        <w:ind w:left="654" w:right="2108"/>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法定代表人：</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（签字或盖章）</w:t>
      </w:r>
    </w:p>
    <w:p>
      <w:pPr>
        <w:pStyle w:val="16"/>
        <w:tabs>
          <w:tab w:val="left" w:pos="5095"/>
        </w:tabs>
        <w:spacing w:before="161" w:line="360" w:lineRule="auto"/>
        <w:ind w:left="654" w:right="2108"/>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联合体成员二：</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（公章）</w:t>
      </w:r>
    </w:p>
    <w:p>
      <w:pPr>
        <w:pStyle w:val="16"/>
        <w:tabs>
          <w:tab w:val="left" w:pos="5095"/>
        </w:tabs>
        <w:spacing w:before="1" w:line="360" w:lineRule="auto"/>
        <w:ind w:left="65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法定代表人：</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（签字或盖章）</w:t>
      </w:r>
    </w:p>
    <w:p>
      <w:pPr>
        <w:pStyle w:val="16"/>
        <w:spacing w:before="160" w:line="360" w:lineRule="auto"/>
        <w:ind w:left="654"/>
        <w:rPr>
          <w:color w:val="000000" w:themeColor="text1"/>
          <w:sz w:val="21"/>
          <w:szCs w:val="21"/>
          <w14:textFill>
            <w14:solidFill>
              <w14:schemeClr w14:val="tx1"/>
            </w14:solidFill>
          </w14:textFill>
        </w:rPr>
      </w:pPr>
      <w:r>
        <w:rPr>
          <w:rFonts w:hint="eastAsia"/>
          <w:color w:val="000000" w:themeColor="text1"/>
          <w:w w:val="200"/>
          <w:sz w:val="21"/>
          <w:szCs w:val="21"/>
          <w14:textFill>
            <w14:solidFill>
              <w14:schemeClr w14:val="tx1"/>
            </w14:solidFill>
          </w14:textFill>
        </w:rPr>
        <w:t>„„„„</w:t>
      </w:r>
    </w:p>
    <w:p>
      <w:pPr>
        <w:pStyle w:val="16"/>
        <w:spacing w:line="360" w:lineRule="auto"/>
        <w:rPr>
          <w:color w:val="000000" w:themeColor="text1"/>
          <w:sz w:val="21"/>
          <w:szCs w:val="21"/>
          <w14:textFill>
            <w14:solidFill>
              <w14:schemeClr w14:val="tx1"/>
            </w14:solidFill>
          </w14:textFill>
        </w:rPr>
      </w:pPr>
    </w:p>
    <w:p>
      <w:pPr>
        <w:pStyle w:val="16"/>
        <w:spacing w:before="1" w:line="360" w:lineRule="auto"/>
        <w:rPr>
          <w:color w:val="000000" w:themeColor="text1"/>
          <w:sz w:val="21"/>
          <w:szCs w:val="21"/>
          <w14:textFill>
            <w14:solidFill>
              <w14:schemeClr w14:val="tx1"/>
            </w14:solidFill>
          </w14:textFill>
        </w:rPr>
      </w:pPr>
    </w:p>
    <w:p>
      <w:pPr>
        <w:pStyle w:val="16"/>
        <w:tabs>
          <w:tab w:val="left" w:pos="6461"/>
        </w:tabs>
        <w:spacing w:line="360" w:lineRule="auto"/>
        <w:ind w:left="4901"/>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签订日期:</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年</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月</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日</w:t>
      </w: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br w:type="page"/>
      </w:r>
    </w:p>
    <w:p>
      <w:pPr>
        <w:pStyle w:val="5"/>
        <w:keepNext w:val="0"/>
        <w:keepLines w:val="0"/>
        <w:autoSpaceDE w:val="0"/>
        <w:autoSpaceDN w:val="0"/>
        <w:spacing w:before="0" w:after="0" w:line="240" w:lineRule="auto"/>
        <w:jc w:val="center"/>
        <w:rPr>
          <w:rFonts w:ascii="宋体" w:hAnsi="宋体" w:cs="宋体"/>
          <w:color w:val="000000" w:themeColor="text1"/>
          <w:sz w:val="24"/>
          <w:szCs w:val="24"/>
          <w:lang w:bidi="zh-CN"/>
          <w14:textFill>
            <w14:solidFill>
              <w14:schemeClr w14:val="tx1"/>
            </w14:solidFill>
          </w14:textFill>
        </w:rPr>
      </w:pPr>
      <w:r>
        <w:rPr>
          <w:rFonts w:hint="eastAsia" w:ascii="宋体" w:hAnsi="宋体" w:cs="宋体"/>
          <w:color w:val="000000" w:themeColor="text1"/>
          <w:sz w:val="24"/>
          <w:szCs w:val="24"/>
          <w:lang w:val="en-US" w:bidi="zh-CN"/>
          <w14:textFill>
            <w14:solidFill>
              <w14:schemeClr w14:val="tx1"/>
            </w14:solidFill>
          </w14:textFill>
        </w:rPr>
        <w:t>九、</w:t>
      </w:r>
      <w:r>
        <w:rPr>
          <w:rFonts w:hint="eastAsia" w:ascii="宋体" w:hAnsi="宋体" w:cs="宋体"/>
          <w:color w:val="000000" w:themeColor="text1"/>
          <w:sz w:val="24"/>
          <w:szCs w:val="24"/>
          <w:lang w:bidi="zh-CN"/>
          <w14:textFill>
            <w14:solidFill>
              <w14:schemeClr w14:val="tx1"/>
            </w14:solidFill>
          </w14:textFill>
        </w:rPr>
        <w:t>其他材料</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tabs>
          <w:tab w:val="left" w:pos="1788"/>
        </w:tabs>
        <w:rPr>
          <w:color w:val="000000" w:themeColor="text1"/>
          <w14:textFill>
            <w14:solidFill>
              <w14:schemeClr w14:val="tx1"/>
            </w14:solidFill>
          </w14:textFill>
        </w:rPr>
      </w:pPr>
      <w:r>
        <w:rPr>
          <w:rFonts w:hint="eastAsia"/>
          <w:color w:val="000000" w:themeColor="text1"/>
          <w14:textFill>
            <w14:solidFill>
              <w14:schemeClr w14:val="tx1"/>
            </w14:solidFill>
          </w14:textFill>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1FFCAF"/>
    <w:multiLevelType w:val="singleLevel"/>
    <w:tmpl w:val="FB1FFCAF"/>
    <w:lvl w:ilvl="0" w:tentative="0">
      <w:start w:val="1"/>
      <w:numFmt w:val="chineseCounting"/>
      <w:suff w:val="space"/>
      <w:lvlText w:val="第%1章"/>
      <w:lvlJc w:val="left"/>
      <w:rPr>
        <w:rFonts w:hint="eastAsia"/>
      </w:rPr>
    </w:lvl>
  </w:abstractNum>
  <w:abstractNum w:abstractNumId="1">
    <w:nsid w:val="06384023"/>
    <w:multiLevelType w:val="multilevel"/>
    <w:tmpl w:val="06384023"/>
    <w:lvl w:ilvl="0" w:tentative="0">
      <w:start w:val="20"/>
      <w:numFmt w:val="decimal"/>
      <w:lvlText w:val="%1."/>
      <w:lvlJc w:val="left"/>
      <w:pPr>
        <w:ind w:left="1022" w:hanging="365"/>
      </w:pPr>
      <w:rPr>
        <w:rFonts w:hint="eastAsia" w:ascii="宋体" w:hAnsi="宋体" w:eastAsia="宋体" w:cs="宋体"/>
        <w:b/>
        <w:bCs/>
        <w:spacing w:val="0"/>
        <w:w w:val="99"/>
        <w:sz w:val="22"/>
        <w:szCs w:val="22"/>
        <w:lang w:val="zh-CN" w:eastAsia="zh-CN" w:bidi="zh-CN"/>
      </w:rPr>
    </w:lvl>
    <w:lvl w:ilvl="1" w:tentative="0">
      <w:start w:val="1"/>
      <w:numFmt w:val="decimal"/>
      <w:lvlText w:val="%1.%2"/>
      <w:lvlJc w:val="left"/>
      <w:pPr>
        <w:ind w:left="220" w:hanging="540"/>
      </w:pPr>
      <w:rPr>
        <w:rFonts w:hint="eastAsia" w:ascii="宋体" w:hAnsi="宋体" w:eastAsia="宋体" w:cs="宋体"/>
        <w:w w:val="100"/>
        <w:sz w:val="24"/>
        <w:szCs w:val="24"/>
        <w:lang w:val="zh-CN" w:eastAsia="zh-CN" w:bidi="zh-CN"/>
      </w:rPr>
    </w:lvl>
    <w:lvl w:ilvl="2" w:tentative="0">
      <w:start w:val="1"/>
      <w:numFmt w:val="decimal"/>
      <w:lvlText w:val="%1.%2.%3"/>
      <w:lvlJc w:val="left"/>
      <w:pPr>
        <w:ind w:left="1434" w:hanging="780"/>
      </w:pPr>
      <w:rPr>
        <w:rFonts w:hint="eastAsia" w:ascii="宋体" w:hAnsi="宋体" w:eastAsia="宋体" w:cs="宋体"/>
        <w:w w:val="100"/>
        <w:sz w:val="24"/>
        <w:szCs w:val="24"/>
        <w:lang w:val="zh-CN" w:eastAsia="zh-CN" w:bidi="zh-CN"/>
      </w:rPr>
    </w:lvl>
    <w:lvl w:ilvl="3" w:tentative="0">
      <w:start w:val="0"/>
      <w:numFmt w:val="bullet"/>
      <w:lvlText w:val="•"/>
      <w:lvlJc w:val="left"/>
      <w:pPr>
        <w:ind w:left="1560" w:hanging="780"/>
      </w:pPr>
      <w:rPr>
        <w:lang w:val="zh-CN" w:eastAsia="zh-CN" w:bidi="zh-CN"/>
      </w:rPr>
    </w:lvl>
    <w:lvl w:ilvl="4" w:tentative="0">
      <w:start w:val="0"/>
      <w:numFmt w:val="bullet"/>
      <w:lvlText w:val="•"/>
      <w:lvlJc w:val="left"/>
      <w:pPr>
        <w:ind w:left="2606" w:hanging="780"/>
      </w:pPr>
      <w:rPr>
        <w:lang w:val="zh-CN" w:eastAsia="zh-CN" w:bidi="zh-CN"/>
      </w:rPr>
    </w:lvl>
    <w:lvl w:ilvl="5" w:tentative="0">
      <w:start w:val="0"/>
      <w:numFmt w:val="bullet"/>
      <w:lvlText w:val="•"/>
      <w:lvlJc w:val="left"/>
      <w:pPr>
        <w:ind w:left="3653" w:hanging="780"/>
      </w:pPr>
      <w:rPr>
        <w:lang w:val="zh-CN" w:eastAsia="zh-CN" w:bidi="zh-CN"/>
      </w:rPr>
    </w:lvl>
    <w:lvl w:ilvl="6" w:tentative="0">
      <w:start w:val="0"/>
      <w:numFmt w:val="bullet"/>
      <w:lvlText w:val="•"/>
      <w:lvlJc w:val="left"/>
      <w:pPr>
        <w:ind w:left="4699" w:hanging="780"/>
      </w:pPr>
      <w:rPr>
        <w:lang w:val="zh-CN" w:eastAsia="zh-CN" w:bidi="zh-CN"/>
      </w:rPr>
    </w:lvl>
    <w:lvl w:ilvl="7" w:tentative="0">
      <w:start w:val="0"/>
      <w:numFmt w:val="bullet"/>
      <w:lvlText w:val="•"/>
      <w:lvlJc w:val="left"/>
      <w:pPr>
        <w:ind w:left="5746" w:hanging="780"/>
      </w:pPr>
      <w:rPr>
        <w:lang w:val="zh-CN" w:eastAsia="zh-CN" w:bidi="zh-CN"/>
      </w:rPr>
    </w:lvl>
    <w:lvl w:ilvl="8" w:tentative="0">
      <w:start w:val="0"/>
      <w:numFmt w:val="bullet"/>
      <w:lvlText w:val="•"/>
      <w:lvlJc w:val="left"/>
      <w:pPr>
        <w:ind w:left="6793" w:hanging="780"/>
      </w:pPr>
      <w:rPr>
        <w:lang w:val="zh-CN" w:eastAsia="zh-CN" w:bidi="zh-CN"/>
      </w:rPr>
    </w:lvl>
  </w:abstractNum>
  <w:abstractNum w:abstractNumId="2">
    <w:nsid w:val="0A0D4908"/>
    <w:multiLevelType w:val="multilevel"/>
    <w:tmpl w:val="0A0D4908"/>
    <w:lvl w:ilvl="0" w:tentative="0">
      <w:start w:val="1"/>
      <w:numFmt w:val="decimal"/>
      <w:lvlText w:val="（%1）"/>
      <w:lvlJc w:val="left"/>
      <w:pPr>
        <w:ind w:left="1301" w:hanging="601"/>
      </w:pPr>
      <w:rPr>
        <w:rFonts w:hint="eastAsia" w:ascii="宋体" w:hAnsi="宋体" w:eastAsia="宋体" w:cs="宋体"/>
        <w:w w:val="100"/>
        <w:sz w:val="22"/>
        <w:szCs w:val="22"/>
        <w:lang w:val="zh-CN" w:eastAsia="zh-CN" w:bidi="zh-CN"/>
      </w:rPr>
    </w:lvl>
    <w:lvl w:ilvl="1" w:tentative="0">
      <w:start w:val="0"/>
      <w:numFmt w:val="bullet"/>
      <w:lvlText w:val="•"/>
      <w:lvlJc w:val="left"/>
      <w:pPr>
        <w:ind w:left="2058" w:hanging="601"/>
      </w:pPr>
      <w:rPr>
        <w:lang w:val="zh-CN" w:eastAsia="zh-CN" w:bidi="zh-CN"/>
      </w:rPr>
    </w:lvl>
    <w:lvl w:ilvl="2" w:tentative="0">
      <w:start w:val="0"/>
      <w:numFmt w:val="bullet"/>
      <w:lvlText w:val="•"/>
      <w:lvlJc w:val="left"/>
      <w:pPr>
        <w:ind w:left="2817" w:hanging="601"/>
      </w:pPr>
      <w:rPr>
        <w:lang w:val="zh-CN" w:eastAsia="zh-CN" w:bidi="zh-CN"/>
      </w:rPr>
    </w:lvl>
    <w:lvl w:ilvl="3" w:tentative="0">
      <w:start w:val="0"/>
      <w:numFmt w:val="bullet"/>
      <w:lvlText w:val="•"/>
      <w:lvlJc w:val="left"/>
      <w:pPr>
        <w:ind w:left="3575" w:hanging="601"/>
      </w:pPr>
      <w:rPr>
        <w:lang w:val="zh-CN" w:eastAsia="zh-CN" w:bidi="zh-CN"/>
      </w:rPr>
    </w:lvl>
    <w:lvl w:ilvl="4" w:tentative="0">
      <w:start w:val="0"/>
      <w:numFmt w:val="bullet"/>
      <w:lvlText w:val="•"/>
      <w:lvlJc w:val="left"/>
      <w:pPr>
        <w:ind w:left="4334" w:hanging="601"/>
      </w:pPr>
      <w:rPr>
        <w:lang w:val="zh-CN" w:eastAsia="zh-CN" w:bidi="zh-CN"/>
      </w:rPr>
    </w:lvl>
    <w:lvl w:ilvl="5" w:tentative="0">
      <w:start w:val="0"/>
      <w:numFmt w:val="bullet"/>
      <w:lvlText w:val="•"/>
      <w:lvlJc w:val="left"/>
      <w:pPr>
        <w:ind w:left="5093" w:hanging="601"/>
      </w:pPr>
      <w:rPr>
        <w:lang w:val="zh-CN" w:eastAsia="zh-CN" w:bidi="zh-CN"/>
      </w:rPr>
    </w:lvl>
    <w:lvl w:ilvl="6" w:tentative="0">
      <w:start w:val="0"/>
      <w:numFmt w:val="bullet"/>
      <w:lvlText w:val="•"/>
      <w:lvlJc w:val="left"/>
      <w:pPr>
        <w:ind w:left="5851" w:hanging="601"/>
      </w:pPr>
      <w:rPr>
        <w:lang w:val="zh-CN" w:eastAsia="zh-CN" w:bidi="zh-CN"/>
      </w:rPr>
    </w:lvl>
    <w:lvl w:ilvl="7" w:tentative="0">
      <w:start w:val="0"/>
      <w:numFmt w:val="bullet"/>
      <w:lvlText w:val="•"/>
      <w:lvlJc w:val="left"/>
      <w:pPr>
        <w:ind w:left="6610" w:hanging="601"/>
      </w:pPr>
      <w:rPr>
        <w:lang w:val="zh-CN" w:eastAsia="zh-CN" w:bidi="zh-CN"/>
      </w:rPr>
    </w:lvl>
    <w:lvl w:ilvl="8" w:tentative="0">
      <w:start w:val="0"/>
      <w:numFmt w:val="bullet"/>
      <w:lvlText w:val="•"/>
      <w:lvlJc w:val="left"/>
      <w:pPr>
        <w:ind w:left="7369" w:hanging="601"/>
      </w:pPr>
      <w:rPr>
        <w:lang w:val="zh-CN" w:eastAsia="zh-CN" w:bidi="zh-CN"/>
      </w:rPr>
    </w:lvl>
  </w:abstractNum>
  <w:abstractNum w:abstractNumId="3">
    <w:nsid w:val="0D74544E"/>
    <w:multiLevelType w:val="multilevel"/>
    <w:tmpl w:val="0D74544E"/>
    <w:lvl w:ilvl="0" w:tentative="0">
      <w:start w:val="1"/>
      <w:numFmt w:val="decimal"/>
      <w:lvlText w:val="%1."/>
      <w:lvlJc w:val="left"/>
      <w:pPr>
        <w:ind w:left="2815" w:hanging="2161"/>
      </w:pPr>
      <w:rPr>
        <w:rFonts w:hint="eastAsia" w:ascii="宋体" w:hAnsi="宋体" w:eastAsia="宋体" w:cs="宋体"/>
        <w:w w:val="100"/>
        <w:sz w:val="24"/>
        <w:szCs w:val="24"/>
        <w:lang w:val="zh-CN" w:eastAsia="zh-CN" w:bidi="zh-CN"/>
      </w:rPr>
    </w:lvl>
    <w:lvl w:ilvl="1" w:tentative="0">
      <w:start w:val="1"/>
      <w:numFmt w:val="decimal"/>
      <w:lvlText w:val="%2."/>
      <w:lvlJc w:val="left"/>
      <w:pPr>
        <w:ind w:left="299" w:hanging="361"/>
      </w:pPr>
      <w:rPr>
        <w:rFonts w:hint="eastAsia" w:ascii="宋体" w:hAnsi="宋体" w:eastAsia="宋体" w:cs="宋体"/>
        <w:spacing w:val="-20"/>
        <w:w w:val="100"/>
        <w:sz w:val="22"/>
        <w:szCs w:val="22"/>
        <w:lang w:val="zh-CN" w:eastAsia="zh-CN" w:bidi="zh-CN"/>
      </w:rPr>
    </w:lvl>
    <w:lvl w:ilvl="2" w:tentative="0">
      <w:start w:val="0"/>
      <w:numFmt w:val="bullet"/>
      <w:lvlText w:val="•"/>
      <w:lvlJc w:val="left"/>
      <w:pPr>
        <w:ind w:left="3494" w:hanging="361"/>
      </w:pPr>
      <w:rPr>
        <w:lang w:val="zh-CN" w:eastAsia="zh-CN" w:bidi="zh-CN"/>
      </w:rPr>
    </w:lvl>
    <w:lvl w:ilvl="3" w:tentative="0">
      <w:start w:val="0"/>
      <w:numFmt w:val="bullet"/>
      <w:lvlText w:val="•"/>
      <w:lvlJc w:val="left"/>
      <w:pPr>
        <w:ind w:left="4168" w:hanging="361"/>
      </w:pPr>
      <w:rPr>
        <w:lang w:val="zh-CN" w:eastAsia="zh-CN" w:bidi="zh-CN"/>
      </w:rPr>
    </w:lvl>
    <w:lvl w:ilvl="4" w:tentative="0">
      <w:start w:val="0"/>
      <w:numFmt w:val="bullet"/>
      <w:lvlText w:val="•"/>
      <w:lvlJc w:val="left"/>
      <w:pPr>
        <w:ind w:left="4842" w:hanging="361"/>
      </w:pPr>
      <w:rPr>
        <w:lang w:val="zh-CN" w:eastAsia="zh-CN" w:bidi="zh-CN"/>
      </w:rPr>
    </w:lvl>
    <w:lvl w:ilvl="5" w:tentative="0">
      <w:start w:val="0"/>
      <w:numFmt w:val="bullet"/>
      <w:lvlText w:val="•"/>
      <w:lvlJc w:val="left"/>
      <w:pPr>
        <w:ind w:left="5516" w:hanging="361"/>
      </w:pPr>
      <w:rPr>
        <w:lang w:val="zh-CN" w:eastAsia="zh-CN" w:bidi="zh-CN"/>
      </w:rPr>
    </w:lvl>
    <w:lvl w:ilvl="6" w:tentative="0">
      <w:start w:val="0"/>
      <w:numFmt w:val="bullet"/>
      <w:lvlText w:val="•"/>
      <w:lvlJc w:val="left"/>
      <w:pPr>
        <w:ind w:left="6190" w:hanging="361"/>
      </w:pPr>
      <w:rPr>
        <w:lang w:val="zh-CN" w:eastAsia="zh-CN" w:bidi="zh-CN"/>
      </w:rPr>
    </w:lvl>
    <w:lvl w:ilvl="7" w:tentative="0">
      <w:start w:val="0"/>
      <w:numFmt w:val="bullet"/>
      <w:lvlText w:val="•"/>
      <w:lvlJc w:val="left"/>
      <w:pPr>
        <w:ind w:left="6864" w:hanging="361"/>
      </w:pPr>
      <w:rPr>
        <w:lang w:val="zh-CN" w:eastAsia="zh-CN" w:bidi="zh-CN"/>
      </w:rPr>
    </w:lvl>
    <w:lvl w:ilvl="8" w:tentative="0">
      <w:start w:val="0"/>
      <w:numFmt w:val="bullet"/>
      <w:lvlText w:val="•"/>
      <w:lvlJc w:val="left"/>
      <w:pPr>
        <w:ind w:left="7538" w:hanging="361"/>
      </w:pPr>
      <w:rPr>
        <w:lang w:val="zh-CN" w:eastAsia="zh-CN" w:bidi="zh-CN"/>
      </w:rPr>
    </w:lvl>
  </w:abstractNum>
  <w:abstractNum w:abstractNumId="4">
    <w:nsid w:val="10D33309"/>
    <w:multiLevelType w:val="multilevel"/>
    <w:tmpl w:val="10D33309"/>
    <w:lvl w:ilvl="0" w:tentative="0">
      <w:start w:val="9"/>
      <w:numFmt w:val="decimal"/>
      <w:lvlText w:val="%1."/>
      <w:lvlJc w:val="left"/>
      <w:pPr>
        <w:ind w:left="900" w:hanging="244"/>
      </w:pPr>
      <w:rPr>
        <w:rFonts w:hint="eastAsia" w:ascii="宋体" w:hAnsi="宋体" w:eastAsia="宋体" w:cs="宋体"/>
        <w:b/>
        <w:bCs/>
        <w:spacing w:val="0"/>
        <w:w w:val="99"/>
        <w:sz w:val="22"/>
        <w:szCs w:val="22"/>
        <w:lang w:val="zh-CN" w:eastAsia="zh-CN" w:bidi="zh-CN"/>
      </w:rPr>
    </w:lvl>
    <w:lvl w:ilvl="1" w:tentative="0">
      <w:start w:val="1"/>
      <w:numFmt w:val="decimal"/>
      <w:lvlText w:val="%1.%2"/>
      <w:lvlJc w:val="left"/>
      <w:pPr>
        <w:ind w:left="220" w:hanging="432"/>
      </w:pPr>
      <w:rPr>
        <w:rFonts w:hint="eastAsia" w:ascii="宋体" w:hAnsi="宋体" w:eastAsia="宋体" w:cs="宋体"/>
        <w:w w:val="100"/>
        <w:sz w:val="24"/>
        <w:szCs w:val="24"/>
        <w:lang w:val="zh-CN" w:eastAsia="zh-CN" w:bidi="zh-CN"/>
      </w:rPr>
    </w:lvl>
    <w:lvl w:ilvl="2" w:tentative="0">
      <w:start w:val="0"/>
      <w:numFmt w:val="bullet"/>
      <w:lvlText w:val="•"/>
      <w:lvlJc w:val="left"/>
      <w:pPr>
        <w:ind w:left="1787" w:hanging="432"/>
      </w:pPr>
      <w:rPr>
        <w:lang w:val="zh-CN" w:eastAsia="zh-CN" w:bidi="zh-CN"/>
      </w:rPr>
    </w:lvl>
    <w:lvl w:ilvl="3" w:tentative="0">
      <w:start w:val="0"/>
      <w:numFmt w:val="bullet"/>
      <w:lvlText w:val="•"/>
      <w:lvlJc w:val="left"/>
      <w:pPr>
        <w:ind w:left="2674" w:hanging="432"/>
      </w:pPr>
      <w:rPr>
        <w:lang w:val="zh-CN" w:eastAsia="zh-CN" w:bidi="zh-CN"/>
      </w:rPr>
    </w:lvl>
    <w:lvl w:ilvl="4" w:tentative="0">
      <w:start w:val="0"/>
      <w:numFmt w:val="bullet"/>
      <w:lvlText w:val="•"/>
      <w:lvlJc w:val="left"/>
      <w:pPr>
        <w:ind w:left="3562" w:hanging="432"/>
      </w:pPr>
      <w:rPr>
        <w:lang w:val="zh-CN" w:eastAsia="zh-CN" w:bidi="zh-CN"/>
      </w:rPr>
    </w:lvl>
    <w:lvl w:ilvl="5" w:tentative="0">
      <w:start w:val="0"/>
      <w:numFmt w:val="bullet"/>
      <w:lvlText w:val="•"/>
      <w:lvlJc w:val="left"/>
      <w:pPr>
        <w:ind w:left="4449" w:hanging="432"/>
      </w:pPr>
      <w:rPr>
        <w:lang w:val="zh-CN" w:eastAsia="zh-CN" w:bidi="zh-CN"/>
      </w:rPr>
    </w:lvl>
    <w:lvl w:ilvl="6" w:tentative="0">
      <w:start w:val="0"/>
      <w:numFmt w:val="bullet"/>
      <w:lvlText w:val="•"/>
      <w:lvlJc w:val="left"/>
      <w:pPr>
        <w:ind w:left="5336" w:hanging="432"/>
      </w:pPr>
      <w:rPr>
        <w:lang w:val="zh-CN" w:eastAsia="zh-CN" w:bidi="zh-CN"/>
      </w:rPr>
    </w:lvl>
    <w:lvl w:ilvl="7" w:tentative="0">
      <w:start w:val="0"/>
      <w:numFmt w:val="bullet"/>
      <w:lvlText w:val="•"/>
      <w:lvlJc w:val="left"/>
      <w:pPr>
        <w:ind w:left="6224" w:hanging="432"/>
      </w:pPr>
      <w:rPr>
        <w:lang w:val="zh-CN" w:eastAsia="zh-CN" w:bidi="zh-CN"/>
      </w:rPr>
    </w:lvl>
    <w:lvl w:ilvl="8" w:tentative="0">
      <w:start w:val="0"/>
      <w:numFmt w:val="bullet"/>
      <w:lvlText w:val="•"/>
      <w:lvlJc w:val="left"/>
      <w:pPr>
        <w:ind w:left="7111" w:hanging="432"/>
      </w:pPr>
      <w:rPr>
        <w:lang w:val="zh-CN" w:eastAsia="zh-CN" w:bidi="zh-CN"/>
      </w:rPr>
    </w:lvl>
  </w:abstractNum>
  <w:abstractNum w:abstractNumId="5">
    <w:nsid w:val="130609AE"/>
    <w:multiLevelType w:val="multilevel"/>
    <w:tmpl w:val="130609AE"/>
    <w:lvl w:ilvl="0" w:tentative="0">
      <w:start w:val="15"/>
      <w:numFmt w:val="decimal"/>
      <w:lvlText w:val="%1."/>
      <w:lvlJc w:val="left"/>
      <w:pPr>
        <w:ind w:left="1022" w:hanging="365"/>
      </w:pPr>
      <w:rPr>
        <w:rFonts w:hint="eastAsia" w:ascii="宋体" w:hAnsi="宋体" w:eastAsia="宋体" w:cs="宋体"/>
        <w:b/>
        <w:bCs/>
        <w:spacing w:val="0"/>
        <w:w w:val="99"/>
        <w:sz w:val="22"/>
        <w:szCs w:val="22"/>
        <w:lang w:val="zh-CN" w:eastAsia="zh-CN" w:bidi="zh-CN"/>
      </w:rPr>
    </w:lvl>
    <w:lvl w:ilvl="1" w:tentative="0">
      <w:start w:val="1"/>
      <w:numFmt w:val="decimal"/>
      <w:lvlText w:val="%1.%2"/>
      <w:lvlJc w:val="left"/>
      <w:pPr>
        <w:ind w:left="1194" w:hanging="540"/>
      </w:pPr>
      <w:rPr>
        <w:rFonts w:hint="eastAsia" w:ascii="宋体" w:hAnsi="宋体" w:eastAsia="宋体" w:cs="宋体"/>
        <w:w w:val="100"/>
        <w:sz w:val="24"/>
        <w:szCs w:val="24"/>
        <w:lang w:val="zh-CN" w:eastAsia="zh-CN" w:bidi="zh-CN"/>
      </w:rPr>
    </w:lvl>
    <w:lvl w:ilvl="2" w:tentative="0">
      <w:start w:val="0"/>
      <w:numFmt w:val="bullet"/>
      <w:lvlText w:val="•"/>
      <w:lvlJc w:val="left"/>
      <w:pPr>
        <w:ind w:left="2054" w:hanging="540"/>
      </w:pPr>
      <w:rPr>
        <w:lang w:val="zh-CN" w:eastAsia="zh-CN" w:bidi="zh-CN"/>
      </w:rPr>
    </w:lvl>
    <w:lvl w:ilvl="3" w:tentative="0">
      <w:start w:val="0"/>
      <w:numFmt w:val="bullet"/>
      <w:lvlText w:val="•"/>
      <w:lvlJc w:val="left"/>
      <w:pPr>
        <w:ind w:left="2908" w:hanging="540"/>
      </w:pPr>
      <w:rPr>
        <w:lang w:val="zh-CN" w:eastAsia="zh-CN" w:bidi="zh-CN"/>
      </w:rPr>
    </w:lvl>
    <w:lvl w:ilvl="4" w:tentative="0">
      <w:start w:val="0"/>
      <w:numFmt w:val="bullet"/>
      <w:lvlText w:val="•"/>
      <w:lvlJc w:val="left"/>
      <w:pPr>
        <w:ind w:left="3762" w:hanging="540"/>
      </w:pPr>
      <w:rPr>
        <w:lang w:val="zh-CN" w:eastAsia="zh-CN" w:bidi="zh-CN"/>
      </w:rPr>
    </w:lvl>
    <w:lvl w:ilvl="5" w:tentative="0">
      <w:start w:val="0"/>
      <w:numFmt w:val="bullet"/>
      <w:lvlText w:val="•"/>
      <w:lvlJc w:val="left"/>
      <w:pPr>
        <w:ind w:left="4616" w:hanging="540"/>
      </w:pPr>
      <w:rPr>
        <w:lang w:val="zh-CN" w:eastAsia="zh-CN" w:bidi="zh-CN"/>
      </w:rPr>
    </w:lvl>
    <w:lvl w:ilvl="6" w:tentative="0">
      <w:start w:val="0"/>
      <w:numFmt w:val="bullet"/>
      <w:lvlText w:val="•"/>
      <w:lvlJc w:val="left"/>
      <w:pPr>
        <w:ind w:left="5470" w:hanging="540"/>
      </w:pPr>
      <w:rPr>
        <w:lang w:val="zh-CN" w:eastAsia="zh-CN" w:bidi="zh-CN"/>
      </w:rPr>
    </w:lvl>
    <w:lvl w:ilvl="7" w:tentative="0">
      <w:start w:val="0"/>
      <w:numFmt w:val="bullet"/>
      <w:lvlText w:val="•"/>
      <w:lvlJc w:val="left"/>
      <w:pPr>
        <w:ind w:left="6324" w:hanging="540"/>
      </w:pPr>
      <w:rPr>
        <w:lang w:val="zh-CN" w:eastAsia="zh-CN" w:bidi="zh-CN"/>
      </w:rPr>
    </w:lvl>
    <w:lvl w:ilvl="8" w:tentative="0">
      <w:start w:val="0"/>
      <w:numFmt w:val="bullet"/>
      <w:lvlText w:val="•"/>
      <w:lvlJc w:val="left"/>
      <w:pPr>
        <w:ind w:left="7178" w:hanging="540"/>
      </w:pPr>
      <w:rPr>
        <w:lang w:val="zh-CN" w:eastAsia="zh-CN" w:bidi="zh-CN"/>
      </w:rPr>
    </w:lvl>
  </w:abstractNum>
  <w:abstractNum w:abstractNumId="6">
    <w:nsid w:val="132366A0"/>
    <w:multiLevelType w:val="multilevel"/>
    <w:tmpl w:val="132366A0"/>
    <w:lvl w:ilvl="0" w:tentative="0">
      <w:start w:val="24"/>
      <w:numFmt w:val="decimal"/>
      <w:lvlText w:val="%1."/>
      <w:lvlJc w:val="left"/>
      <w:pPr>
        <w:ind w:left="1022" w:hanging="365"/>
      </w:pPr>
      <w:rPr>
        <w:rFonts w:hint="eastAsia" w:ascii="宋体" w:hAnsi="宋体" w:eastAsia="宋体" w:cs="宋体"/>
        <w:b/>
        <w:bCs/>
        <w:spacing w:val="0"/>
        <w:w w:val="99"/>
        <w:sz w:val="22"/>
        <w:szCs w:val="22"/>
        <w:lang w:val="zh-CN" w:eastAsia="zh-CN" w:bidi="zh-CN"/>
      </w:rPr>
    </w:lvl>
    <w:lvl w:ilvl="1" w:tentative="0">
      <w:start w:val="1"/>
      <w:numFmt w:val="decimal"/>
      <w:lvlText w:val="%1.%2"/>
      <w:lvlJc w:val="left"/>
      <w:pPr>
        <w:ind w:left="220" w:hanging="603"/>
      </w:pPr>
      <w:rPr>
        <w:rFonts w:hint="eastAsia" w:ascii="宋体" w:hAnsi="宋体" w:eastAsia="宋体" w:cs="宋体"/>
        <w:b w:val="0"/>
        <w:w w:val="100"/>
        <w:sz w:val="24"/>
        <w:szCs w:val="24"/>
        <w:lang w:val="zh-CN" w:eastAsia="zh-CN" w:bidi="zh-CN"/>
      </w:rPr>
    </w:lvl>
    <w:lvl w:ilvl="2" w:tentative="0">
      <w:start w:val="0"/>
      <w:numFmt w:val="bullet"/>
      <w:lvlText w:val="•"/>
      <w:lvlJc w:val="left"/>
      <w:pPr>
        <w:ind w:left="1200" w:hanging="603"/>
      </w:pPr>
      <w:rPr>
        <w:lang w:val="zh-CN" w:eastAsia="zh-CN" w:bidi="zh-CN"/>
      </w:rPr>
    </w:lvl>
    <w:lvl w:ilvl="3" w:tentative="0">
      <w:start w:val="0"/>
      <w:numFmt w:val="bullet"/>
      <w:lvlText w:val="•"/>
      <w:lvlJc w:val="left"/>
      <w:pPr>
        <w:ind w:left="2160" w:hanging="603"/>
      </w:pPr>
      <w:rPr>
        <w:lang w:val="zh-CN" w:eastAsia="zh-CN" w:bidi="zh-CN"/>
      </w:rPr>
    </w:lvl>
    <w:lvl w:ilvl="4" w:tentative="0">
      <w:start w:val="0"/>
      <w:numFmt w:val="bullet"/>
      <w:lvlText w:val="•"/>
      <w:lvlJc w:val="left"/>
      <w:pPr>
        <w:ind w:left="3121" w:hanging="603"/>
      </w:pPr>
      <w:rPr>
        <w:lang w:val="zh-CN" w:eastAsia="zh-CN" w:bidi="zh-CN"/>
      </w:rPr>
    </w:lvl>
    <w:lvl w:ilvl="5" w:tentative="0">
      <w:start w:val="0"/>
      <w:numFmt w:val="bullet"/>
      <w:lvlText w:val="•"/>
      <w:lvlJc w:val="left"/>
      <w:pPr>
        <w:ind w:left="4082" w:hanging="603"/>
      </w:pPr>
      <w:rPr>
        <w:lang w:val="zh-CN" w:eastAsia="zh-CN" w:bidi="zh-CN"/>
      </w:rPr>
    </w:lvl>
    <w:lvl w:ilvl="6" w:tentative="0">
      <w:start w:val="0"/>
      <w:numFmt w:val="bullet"/>
      <w:lvlText w:val="•"/>
      <w:lvlJc w:val="left"/>
      <w:pPr>
        <w:ind w:left="5043" w:hanging="603"/>
      </w:pPr>
      <w:rPr>
        <w:lang w:val="zh-CN" w:eastAsia="zh-CN" w:bidi="zh-CN"/>
      </w:rPr>
    </w:lvl>
    <w:lvl w:ilvl="7" w:tentative="0">
      <w:start w:val="0"/>
      <w:numFmt w:val="bullet"/>
      <w:lvlText w:val="•"/>
      <w:lvlJc w:val="left"/>
      <w:pPr>
        <w:ind w:left="6004" w:hanging="603"/>
      </w:pPr>
      <w:rPr>
        <w:lang w:val="zh-CN" w:eastAsia="zh-CN" w:bidi="zh-CN"/>
      </w:rPr>
    </w:lvl>
    <w:lvl w:ilvl="8" w:tentative="0">
      <w:start w:val="0"/>
      <w:numFmt w:val="bullet"/>
      <w:lvlText w:val="•"/>
      <w:lvlJc w:val="left"/>
      <w:pPr>
        <w:ind w:left="6964" w:hanging="603"/>
      </w:pPr>
      <w:rPr>
        <w:lang w:val="zh-CN" w:eastAsia="zh-CN" w:bidi="zh-CN"/>
      </w:rPr>
    </w:lvl>
  </w:abstractNum>
  <w:abstractNum w:abstractNumId="7">
    <w:nsid w:val="16752F17"/>
    <w:multiLevelType w:val="multilevel"/>
    <w:tmpl w:val="16752F17"/>
    <w:lvl w:ilvl="0" w:tentative="0">
      <w:start w:val="6"/>
      <w:numFmt w:val="decimal"/>
      <w:lvlText w:val="%1."/>
      <w:lvlJc w:val="left"/>
      <w:pPr>
        <w:ind w:left="900" w:hanging="244"/>
      </w:pPr>
      <w:rPr>
        <w:rFonts w:hint="eastAsia" w:ascii="宋体" w:hAnsi="宋体" w:eastAsia="宋体" w:cs="宋体"/>
        <w:b/>
        <w:bCs/>
        <w:spacing w:val="0"/>
        <w:w w:val="99"/>
        <w:sz w:val="22"/>
        <w:szCs w:val="22"/>
        <w:lang w:val="zh-CN" w:eastAsia="zh-CN" w:bidi="zh-CN"/>
      </w:rPr>
    </w:lvl>
    <w:lvl w:ilvl="1" w:tentative="0">
      <w:start w:val="1"/>
      <w:numFmt w:val="decimal"/>
      <w:lvlText w:val="%1.%2"/>
      <w:lvlJc w:val="left"/>
      <w:pPr>
        <w:ind w:left="1074" w:hanging="420"/>
      </w:pPr>
      <w:rPr>
        <w:rFonts w:hint="eastAsia" w:ascii="宋体" w:hAnsi="宋体" w:eastAsia="宋体" w:cs="宋体"/>
        <w:w w:val="100"/>
        <w:sz w:val="24"/>
        <w:szCs w:val="24"/>
        <w:lang w:val="zh-CN" w:eastAsia="zh-CN" w:bidi="zh-CN"/>
      </w:rPr>
    </w:lvl>
    <w:lvl w:ilvl="2" w:tentative="0">
      <w:start w:val="0"/>
      <w:numFmt w:val="bullet"/>
      <w:lvlText w:val="•"/>
      <w:lvlJc w:val="left"/>
      <w:pPr>
        <w:ind w:left="1947" w:hanging="420"/>
      </w:pPr>
      <w:rPr>
        <w:lang w:val="zh-CN" w:eastAsia="zh-CN" w:bidi="zh-CN"/>
      </w:rPr>
    </w:lvl>
    <w:lvl w:ilvl="3" w:tentative="0">
      <w:start w:val="0"/>
      <w:numFmt w:val="bullet"/>
      <w:lvlText w:val="•"/>
      <w:lvlJc w:val="left"/>
      <w:pPr>
        <w:ind w:left="2814" w:hanging="420"/>
      </w:pPr>
      <w:rPr>
        <w:lang w:val="zh-CN" w:eastAsia="zh-CN" w:bidi="zh-CN"/>
      </w:rPr>
    </w:lvl>
    <w:lvl w:ilvl="4" w:tentative="0">
      <w:start w:val="0"/>
      <w:numFmt w:val="bullet"/>
      <w:lvlText w:val="•"/>
      <w:lvlJc w:val="left"/>
      <w:pPr>
        <w:ind w:left="3682" w:hanging="420"/>
      </w:pPr>
      <w:rPr>
        <w:lang w:val="zh-CN" w:eastAsia="zh-CN" w:bidi="zh-CN"/>
      </w:rPr>
    </w:lvl>
    <w:lvl w:ilvl="5" w:tentative="0">
      <w:start w:val="0"/>
      <w:numFmt w:val="bullet"/>
      <w:lvlText w:val="•"/>
      <w:lvlJc w:val="left"/>
      <w:pPr>
        <w:ind w:left="4549" w:hanging="420"/>
      </w:pPr>
      <w:rPr>
        <w:lang w:val="zh-CN" w:eastAsia="zh-CN" w:bidi="zh-CN"/>
      </w:rPr>
    </w:lvl>
    <w:lvl w:ilvl="6" w:tentative="0">
      <w:start w:val="0"/>
      <w:numFmt w:val="bullet"/>
      <w:lvlText w:val="•"/>
      <w:lvlJc w:val="left"/>
      <w:pPr>
        <w:ind w:left="5416" w:hanging="420"/>
      </w:pPr>
      <w:rPr>
        <w:lang w:val="zh-CN" w:eastAsia="zh-CN" w:bidi="zh-CN"/>
      </w:rPr>
    </w:lvl>
    <w:lvl w:ilvl="7" w:tentative="0">
      <w:start w:val="0"/>
      <w:numFmt w:val="bullet"/>
      <w:lvlText w:val="•"/>
      <w:lvlJc w:val="left"/>
      <w:pPr>
        <w:ind w:left="6284" w:hanging="420"/>
      </w:pPr>
      <w:rPr>
        <w:lang w:val="zh-CN" w:eastAsia="zh-CN" w:bidi="zh-CN"/>
      </w:rPr>
    </w:lvl>
    <w:lvl w:ilvl="8" w:tentative="0">
      <w:start w:val="0"/>
      <w:numFmt w:val="bullet"/>
      <w:lvlText w:val="•"/>
      <w:lvlJc w:val="left"/>
      <w:pPr>
        <w:ind w:left="7151" w:hanging="420"/>
      </w:pPr>
      <w:rPr>
        <w:lang w:val="zh-CN" w:eastAsia="zh-CN" w:bidi="zh-CN"/>
      </w:rPr>
    </w:lvl>
  </w:abstractNum>
  <w:abstractNum w:abstractNumId="8">
    <w:nsid w:val="188C7589"/>
    <w:multiLevelType w:val="multilevel"/>
    <w:tmpl w:val="188C7589"/>
    <w:lvl w:ilvl="0" w:tentative="0">
      <w:start w:val="1"/>
      <w:numFmt w:val="decimal"/>
      <w:lvlText w:val="%1."/>
      <w:lvlJc w:val="left"/>
      <w:pPr>
        <w:ind w:left="900" w:hanging="244"/>
      </w:pPr>
      <w:rPr>
        <w:rFonts w:hint="eastAsia" w:ascii="宋体" w:hAnsi="宋体" w:eastAsia="宋体" w:cs="宋体"/>
        <w:b/>
        <w:bCs/>
        <w:spacing w:val="0"/>
        <w:w w:val="99"/>
        <w:sz w:val="22"/>
        <w:szCs w:val="22"/>
        <w:lang w:val="zh-CN" w:eastAsia="zh-CN" w:bidi="zh-CN"/>
      </w:rPr>
    </w:lvl>
    <w:lvl w:ilvl="1" w:tentative="0">
      <w:start w:val="1"/>
      <w:numFmt w:val="decimal"/>
      <w:lvlText w:val="%1.%2"/>
      <w:lvlJc w:val="left"/>
      <w:pPr>
        <w:ind w:left="657" w:hanging="420"/>
      </w:pPr>
      <w:rPr>
        <w:rFonts w:hint="eastAsia" w:ascii="宋体" w:hAnsi="宋体" w:eastAsia="宋体" w:cs="宋体"/>
        <w:w w:val="100"/>
        <w:sz w:val="24"/>
        <w:szCs w:val="24"/>
        <w:lang w:val="zh-CN" w:eastAsia="zh-CN" w:bidi="zh-CN"/>
      </w:rPr>
    </w:lvl>
    <w:lvl w:ilvl="2" w:tentative="0">
      <w:start w:val="0"/>
      <w:numFmt w:val="bullet"/>
      <w:lvlText w:val="•"/>
      <w:lvlJc w:val="left"/>
      <w:pPr>
        <w:ind w:left="1787" w:hanging="420"/>
      </w:pPr>
      <w:rPr>
        <w:lang w:val="zh-CN" w:eastAsia="zh-CN" w:bidi="zh-CN"/>
      </w:rPr>
    </w:lvl>
    <w:lvl w:ilvl="3" w:tentative="0">
      <w:start w:val="0"/>
      <w:numFmt w:val="bullet"/>
      <w:lvlText w:val="•"/>
      <w:lvlJc w:val="left"/>
      <w:pPr>
        <w:ind w:left="2674" w:hanging="420"/>
      </w:pPr>
      <w:rPr>
        <w:lang w:val="zh-CN" w:eastAsia="zh-CN" w:bidi="zh-CN"/>
      </w:rPr>
    </w:lvl>
    <w:lvl w:ilvl="4" w:tentative="0">
      <w:start w:val="0"/>
      <w:numFmt w:val="bullet"/>
      <w:lvlText w:val="•"/>
      <w:lvlJc w:val="left"/>
      <w:pPr>
        <w:ind w:left="3562" w:hanging="420"/>
      </w:pPr>
      <w:rPr>
        <w:lang w:val="zh-CN" w:eastAsia="zh-CN" w:bidi="zh-CN"/>
      </w:rPr>
    </w:lvl>
    <w:lvl w:ilvl="5" w:tentative="0">
      <w:start w:val="0"/>
      <w:numFmt w:val="bullet"/>
      <w:lvlText w:val="•"/>
      <w:lvlJc w:val="left"/>
      <w:pPr>
        <w:ind w:left="4449" w:hanging="420"/>
      </w:pPr>
      <w:rPr>
        <w:lang w:val="zh-CN" w:eastAsia="zh-CN" w:bidi="zh-CN"/>
      </w:rPr>
    </w:lvl>
    <w:lvl w:ilvl="6" w:tentative="0">
      <w:start w:val="0"/>
      <w:numFmt w:val="bullet"/>
      <w:lvlText w:val="•"/>
      <w:lvlJc w:val="left"/>
      <w:pPr>
        <w:ind w:left="5336" w:hanging="420"/>
      </w:pPr>
      <w:rPr>
        <w:lang w:val="zh-CN" w:eastAsia="zh-CN" w:bidi="zh-CN"/>
      </w:rPr>
    </w:lvl>
    <w:lvl w:ilvl="7" w:tentative="0">
      <w:start w:val="0"/>
      <w:numFmt w:val="bullet"/>
      <w:lvlText w:val="•"/>
      <w:lvlJc w:val="left"/>
      <w:pPr>
        <w:ind w:left="6224" w:hanging="420"/>
      </w:pPr>
      <w:rPr>
        <w:lang w:val="zh-CN" w:eastAsia="zh-CN" w:bidi="zh-CN"/>
      </w:rPr>
    </w:lvl>
    <w:lvl w:ilvl="8" w:tentative="0">
      <w:start w:val="0"/>
      <w:numFmt w:val="bullet"/>
      <w:lvlText w:val="•"/>
      <w:lvlJc w:val="left"/>
      <w:pPr>
        <w:ind w:left="7111" w:hanging="420"/>
      </w:pPr>
      <w:rPr>
        <w:lang w:val="zh-CN" w:eastAsia="zh-CN" w:bidi="zh-CN"/>
      </w:rPr>
    </w:lvl>
  </w:abstractNum>
  <w:abstractNum w:abstractNumId="9">
    <w:nsid w:val="1F9B4152"/>
    <w:multiLevelType w:val="multilevel"/>
    <w:tmpl w:val="1F9B4152"/>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87374D0"/>
    <w:multiLevelType w:val="multilevel"/>
    <w:tmpl w:val="287374D0"/>
    <w:lvl w:ilvl="0" w:tentative="0">
      <w:start w:val="17"/>
      <w:numFmt w:val="decimal"/>
      <w:lvlText w:val="%1."/>
      <w:lvlJc w:val="left"/>
      <w:pPr>
        <w:ind w:left="1022" w:hanging="365"/>
      </w:pPr>
      <w:rPr>
        <w:rFonts w:hint="eastAsia" w:ascii="宋体" w:hAnsi="宋体" w:eastAsia="宋体" w:cs="宋体"/>
        <w:b/>
        <w:bCs/>
        <w:spacing w:val="0"/>
        <w:w w:val="99"/>
        <w:sz w:val="22"/>
        <w:szCs w:val="22"/>
        <w:lang w:val="zh-CN" w:eastAsia="zh-CN" w:bidi="zh-CN"/>
      </w:rPr>
    </w:lvl>
    <w:lvl w:ilvl="1" w:tentative="0">
      <w:start w:val="1"/>
      <w:numFmt w:val="decimal"/>
      <w:lvlText w:val="%1.%2"/>
      <w:lvlJc w:val="left"/>
      <w:pPr>
        <w:ind w:left="220" w:hanging="552"/>
      </w:pPr>
      <w:rPr>
        <w:rFonts w:hint="eastAsia" w:ascii="宋体" w:hAnsi="宋体" w:eastAsia="宋体" w:cs="宋体"/>
        <w:w w:val="100"/>
        <w:sz w:val="24"/>
        <w:szCs w:val="24"/>
        <w:lang w:val="zh-CN" w:eastAsia="zh-CN" w:bidi="zh-CN"/>
      </w:rPr>
    </w:lvl>
    <w:lvl w:ilvl="2" w:tentative="0">
      <w:start w:val="0"/>
      <w:numFmt w:val="bullet"/>
      <w:lvlText w:val="•"/>
      <w:lvlJc w:val="left"/>
      <w:pPr>
        <w:ind w:left="1894" w:hanging="552"/>
      </w:pPr>
      <w:rPr>
        <w:lang w:val="zh-CN" w:eastAsia="zh-CN" w:bidi="zh-CN"/>
      </w:rPr>
    </w:lvl>
    <w:lvl w:ilvl="3" w:tentative="0">
      <w:start w:val="0"/>
      <w:numFmt w:val="bullet"/>
      <w:lvlText w:val="•"/>
      <w:lvlJc w:val="left"/>
      <w:pPr>
        <w:ind w:left="2768" w:hanging="552"/>
      </w:pPr>
      <w:rPr>
        <w:lang w:val="zh-CN" w:eastAsia="zh-CN" w:bidi="zh-CN"/>
      </w:rPr>
    </w:lvl>
    <w:lvl w:ilvl="4" w:tentative="0">
      <w:start w:val="0"/>
      <w:numFmt w:val="bullet"/>
      <w:lvlText w:val="•"/>
      <w:lvlJc w:val="left"/>
      <w:pPr>
        <w:ind w:left="3642" w:hanging="552"/>
      </w:pPr>
      <w:rPr>
        <w:lang w:val="zh-CN" w:eastAsia="zh-CN" w:bidi="zh-CN"/>
      </w:rPr>
    </w:lvl>
    <w:lvl w:ilvl="5" w:tentative="0">
      <w:start w:val="0"/>
      <w:numFmt w:val="bullet"/>
      <w:lvlText w:val="•"/>
      <w:lvlJc w:val="left"/>
      <w:pPr>
        <w:ind w:left="4516" w:hanging="552"/>
      </w:pPr>
      <w:rPr>
        <w:lang w:val="zh-CN" w:eastAsia="zh-CN" w:bidi="zh-CN"/>
      </w:rPr>
    </w:lvl>
    <w:lvl w:ilvl="6" w:tentative="0">
      <w:start w:val="0"/>
      <w:numFmt w:val="bullet"/>
      <w:lvlText w:val="•"/>
      <w:lvlJc w:val="left"/>
      <w:pPr>
        <w:ind w:left="5390" w:hanging="552"/>
      </w:pPr>
      <w:rPr>
        <w:lang w:val="zh-CN" w:eastAsia="zh-CN" w:bidi="zh-CN"/>
      </w:rPr>
    </w:lvl>
    <w:lvl w:ilvl="7" w:tentative="0">
      <w:start w:val="0"/>
      <w:numFmt w:val="bullet"/>
      <w:lvlText w:val="•"/>
      <w:lvlJc w:val="left"/>
      <w:pPr>
        <w:ind w:left="6264" w:hanging="552"/>
      </w:pPr>
      <w:rPr>
        <w:lang w:val="zh-CN" w:eastAsia="zh-CN" w:bidi="zh-CN"/>
      </w:rPr>
    </w:lvl>
    <w:lvl w:ilvl="8" w:tentative="0">
      <w:start w:val="0"/>
      <w:numFmt w:val="bullet"/>
      <w:lvlText w:val="•"/>
      <w:lvlJc w:val="left"/>
      <w:pPr>
        <w:ind w:left="7138" w:hanging="552"/>
      </w:pPr>
      <w:rPr>
        <w:lang w:val="zh-CN" w:eastAsia="zh-CN" w:bidi="zh-CN"/>
      </w:rPr>
    </w:lvl>
  </w:abstractNum>
  <w:abstractNum w:abstractNumId="11">
    <w:nsid w:val="2D0E398F"/>
    <w:multiLevelType w:val="multilevel"/>
    <w:tmpl w:val="2D0E398F"/>
    <w:lvl w:ilvl="0" w:tentative="0">
      <w:start w:val="1"/>
      <w:numFmt w:val="decimal"/>
      <w:lvlText w:val="%1"/>
      <w:lvlJc w:val="left"/>
      <w:pPr>
        <w:ind w:left="340" w:hanging="119"/>
      </w:pPr>
      <w:rPr>
        <w:lang w:val="zh-CN" w:eastAsia="zh-CN" w:bidi="zh-CN"/>
      </w:rPr>
    </w:lvl>
    <w:lvl w:ilvl="1" w:tentative="0">
      <w:start w:val="1"/>
      <w:numFmt w:val="decimal"/>
      <w:lvlText w:val="%1-%2"/>
      <w:lvlJc w:val="left"/>
      <w:pPr>
        <w:ind w:left="686" w:hanging="119"/>
      </w:pPr>
      <w:rPr>
        <w:rFonts w:hint="eastAsia" w:ascii="宋体" w:hAnsi="宋体" w:eastAsia="宋体" w:cs="宋体"/>
        <w:b/>
        <w:bCs/>
        <w:spacing w:val="-1"/>
        <w:w w:val="99"/>
        <w:sz w:val="24"/>
        <w:szCs w:val="24"/>
        <w:lang w:val="zh-CN" w:eastAsia="zh-CN" w:bidi="zh-CN"/>
      </w:rPr>
    </w:lvl>
    <w:lvl w:ilvl="2" w:tentative="0">
      <w:start w:val="1"/>
      <w:numFmt w:val="decimal"/>
      <w:lvlText w:val="%3."/>
      <w:lvlJc w:val="left"/>
      <w:pPr>
        <w:tabs>
          <w:tab w:val="left" w:pos="913"/>
        </w:tabs>
        <w:ind w:left="1032" w:hanging="119"/>
      </w:pPr>
      <w:rPr>
        <w:spacing w:val="-48"/>
        <w:w w:val="100"/>
        <w:lang w:val="zh-CN" w:eastAsia="zh-CN" w:bidi="zh-CN"/>
      </w:rPr>
    </w:lvl>
    <w:lvl w:ilvl="3" w:tentative="0">
      <w:start w:val="0"/>
      <w:numFmt w:val="bullet"/>
      <w:lvlText w:val="•"/>
      <w:lvlJc w:val="left"/>
      <w:pPr>
        <w:ind w:left="1378" w:hanging="119"/>
      </w:pPr>
      <w:rPr>
        <w:lang w:val="zh-CN" w:eastAsia="zh-CN" w:bidi="zh-CN"/>
      </w:rPr>
    </w:lvl>
    <w:lvl w:ilvl="4" w:tentative="0">
      <w:start w:val="0"/>
      <w:numFmt w:val="bullet"/>
      <w:lvlText w:val="•"/>
      <w:lvlJc w:val="left"/>
      <w:pPr>
        <w:ind w:left="1724" w:hanging="119"/>
      </w:pPr>
      <w:rPr>
        <w:lang w:val="zh-CN" w:eastAsia="zh-CN" w:bidi="zh-CN"/>
      </w:rPr>
    </w:lvl>
    <w:lvl w:ilvl="5" w:tentative="0">
      <w:start w:val="0"/>
      <w:numFmt w:val="bullet"/>
      <w:lvlText w:val="•"/>
      <w:lvlJc w:val="left"/>
      <w:pPr>
        <w:ind w:left="2070" w:hanging="119"/>
      </w:pPr>
      <w:rPr>
        <w:lang w:val="zh-CN" w:eastAsia="zh-CN" w:bidi="zh-CN"/>
      </w:rPr>
    </w:lvl>
    <w:lvl w:ilvl="6" w:tentative="0">
      <w:start w:val="0"/>
      <w:numFmt w:val="bullet"/>
      <w:lvlText w:val="•"/>
      <w:lvlJc w:val="left"/>
      <w:pPr>
        <w:ind w:left="2416" w:hanging="119"/>
      </w:pPr>
      <w:rPr>
        <w:lang w:val="zh-CN" w:eastAsia="zh-CN" w:bidi="zh-CN"/>
      </w:rPr>
    </w:lvl>
    <w:lvl w:ilvl="7" w:tentative="0">
      <w:start w:val="0"/>
      <w:numFmt w:val="bullet"/>
      <w:lvlText w:val="•"/>
      <w:lvlJc w:val="left"/>
      <w:pPr>
        <w:ind w:left="2762" w:hanging="119"/>
      </w:pPr>
      <w:rPr>
        <w:lang w:val="zh-CN" w:eastAsia="zh-CN" w:bidi="zh-CN"/>
      </w:rPr>
    </w:lvl>
    <w:lvl w:ilvl="8" w:tentative="0">
      <w:start w:val="0"/>
      <w:numFmt w:val="bullet"/>
      <w:lvlText w:val="•"/>
      <w:lvlJc w:val="left"/>
      <w:pPr>
        <w:ind w:left="3108" w:hanging="119"/>
      </w:pPr>
      <w:rPr>
        <w:lang w:val="zh-CN" w:eastAsia="zh-CN" w:bidi="zh-CN"/>
      </w:rPr>
    </w:lvl>
  </w:abstractNum>
  <w:abstractNum w:abstractNumId="12">
    <w:nsid w:val="43EE450B"/>
    <w:multiLevelType w:val="multilevel"/>
    <w:tmpl w:val="43EE450B"/>
    <w:lvl w:ilvl="0" w:tentative="0">
      <w:start w:val="31"/>
      <w:numFmt w:val="decimal"/>
      <w:lvlText w:val="%1."/>
      <w:lvlJc w:val="left"/>
      <w:pPr>
        <w:ind w:left="1022" w:hanging="365"/>
      </w:pPr>
      <w:rPr>
        <w:rFonts w:hint="eastAsia" w:ascii="宋体" w:hAnsi="宋体" w:eastAsia="宋体" w:cs="宋体"/>
        <w:b/>
        <w:bCs/>
        <w:spacing w:val="0"/>
        <w:w w:val="99"/>
        <w:sz w:val="22"/>
        <w:szCs w:val="22"/>
        <w:lang w:val="zh-CN" w:eastAsia="zh-CN" w:bidi="zh-CN"/>
      </w:rPr>
    </w:lvl>
    <w:lvl w:ilvl="1" w:tentative="0">
      <w:start w:val="1"/>
      <w:numFmt w:val="decimal"/>
      <w:lvlText w:val="%1.%2"/>
      <w:lvlJc w:val="left"/>
      <w:pPr>
        <w:ind w:left="657" w:hanging="540"/>
      </w:pPr>
      <w:rPr>
        <w:rFonts w:hint="eastAsia" w:ascii="宋体" w:hAnsi="宋体" w:eastAsia="宋体" w:cs="宋体"/>
        <w:b w:val="0"/>
        <w:w w:val="100"/>
        <w:sz w:val="24"/>
        <w:szCs w:val="24"/>
        <w:lang w:val="zh-CN" w:eastAsia="zh-CN" w:bidi="zh-CN"/>
      </w:rPr>
    </w:lvl>
    <w:lvl w:ilvl="2" w:tentative="0">
      <w:start w:val="0"/>
      <w:numFmt w:val="bullet"/>
      <w:lvlText w:val="•"/>
      <w:lvlJc w:val="left"/>
      <w:pPr>
        <w:ind w:left="1894" w:hanging="540"/>
      </w:pPr>
      <w:rPr>
        <w:lang w:val="zh-CN" w:eastAsia="zh-CN" w:bidi="zh-CN"/>
      </w:rPr>
    </w:lvl>
    <w:lvl w:ilvl="3" w:tentative="0">
      <w:start w:val="0"/>
      <w:numFmt w:val="bullet"/>
      <w:lvlText w:val="•"/>
      <w:lvlJc w:val="left"/>
      <w:pPr>
        <w:ind w:left="2768" w:hanging="540"/>
      </w:pPr>
      <w:rPr>
        <w:lang w:val="zh-CN" w:eastAsia="zh-CN" w:bidi="zh-CN"/>
      </w:rPr>
    </w:lvl>
    <w:lvl w:ilvl="4" w:tentative="0">
      <w:start w:val="0"/>
      <w:numFmt w:val="bullet"/>
      <w:lvlText w:val="•"/>
      <w:lvlJc w:val="left"/>
      <w:pPr>
        <w:ind w:left="3642" w:hanging="540"/>
      </w:pPr>
      <w:rPr>
        <w:lang w:val="zh-CN" w:eastAsia="zh-CN" w:bidi="zh-CN"/>
      </w:rPr>
    </w:lvl>
    <w:lvl w:ilvl="5" w:tentative="0">
      <w:start w:val="0"/>
      <w:numFmt w:val="bullet"/>
      <w:lvlText w:val="•"/>
      <w:lvlJc w:val="left"/>
      <w:pPr>
        <w:ind w:left="4516" w:hanging="540"/>
      </w:pPr>
      <w:rPr>
        <w:lang w:val="zh-CN" w:eastAsia="zh-CN" w:bidi="zh-CN"/>
      </w:rPr>
    </w:lvl>
    <w:lvl w:ilvl="6" w:tentative="0">
      <w:start w:val="0"/>
      <w:numFmt w:val="bullet"/>
      <w:lvlText w:val="•"/>
      <w:lvlJc w:val="left"/>
      <w:pPr>
        <w:ind w:left="5390" w:hanging="540"/>
      </w:pPr>
      <w:rPr>
        <w:lang w:val="zh-CN" w:eastAsia="zh-CN" w:bidi="zh-CN"/>
      </w:rPr>
    </w:lvl>
    <w:lvl w:ilvl="7" w:tentative="0">
      <w:start w:val="0"/>
      <w:numFmt w:val="bullet"/>
      <w:lvlText w:val="•"/>
      <w:lvlJc w:val="left"/>
      <w:pPr>
        <w:ind w:left="6264" w:hanging="540"/>
      </w:pPr>
      <w:rPr>
        <w:lang w:val="zh-CN" w:eastAsia="zh-CN" w:bidi="zh-CN"/>
      </w:rPr>
    </w:lvl>
    <w:lvl w:ilvl="8" w:tentative="0">
      <w:start w:val="0"/>
      <w:numFmt w:val="bullet"/>
      <w:lvlText w:val="•"/>
      <w:lvlJc w:val="left"/>
      <w:pPr>
        <w:ind w:left="7138" w:hanging="540"/>
      </w:pPr>
      <w:rPr>
        <w:lang w:val="zh-CN" w:eastAsia="zh-CN" w:bidi="zh-CN"/>
      </w:rPr>
    </w:lvl>
  </w:abstractNum>
  <w:abstractNum w:abstractNumId="13">
    <w:nsid w:val="44441762"/>
    <w:multiLevelType w:val="multilevel"/>
    <w:tmpl w:val="44441762"/>
    <w:lvl w:ilvl="0" w:tentative="0">
      <w:start w:val="12"/>
      <w:numFmt w:val="decimal"/>
      <w:lvlText w:val="%1."/>
      <w:lvlJc w:val="left"/>
      <w:pPr>
        <w:ind w:left="1022" w:hanging="365"/>
      </w:pPr>
      <w:rPr>
        <w:rFonts w:hint="eastAsia" w:ascii="宋体" w:hAnsi="宋体" w:eastAsia="宋体" w:cs="宋体"/>
        <w:b/>
        <w:bCs/>
        <w:spacing w:val="0"/>
        <w:w w:val="99"/>
        <w:sz w:val="22"/>
        <w:szCs w:val="22"/>
        <w:lang w:val="zh-CN" w:eastAsia="zh-CN" w:bidi="zh-CN"/>
      </w:rPr>
    </w:lvl>
    <w:lvl w:ilvl="1" w:tentative="0">
      <w:start w:val="1"/>
      <w:numFmt w:val="decimal"/>
      <w:lvlText w:val="%1.%2"/>
      <w:lvlJc w:val="left"/>
      <w:pPr>
        <w:ind w:left="220" w:hanging="540"/>
      </w:pPr>
      <w:rPr>
        <w:rFonts w:hint="eastAsia" w:ascii="宋体" w:hAnsi="宋体" w:eastAsia="宋体" w:cs="宋体"/>
        <w:w w:val="100"/>
        <w:sz w:val="24"/>
        <w:szCs w:val="24"/>
        <w:lang w:val="zh-CN" w:eastAsia="zh-CN" w:bidi="zh-CN"/>
      </w:rPr>
    </w:lvl>
    <w:lvl w:ilvl="2" w:tentative="0">
      <w:start w:val="0"/>
      <w:numFmt w:val="bullet"/>
      <w:lvlText w:val="•"/>
      <w:lvlJc w:val="left"/>
      <w:pPr>
        <w:ind w:left="1894" w:hanging="540"/>
      </w:pPr>
      <w:rPr>
        <w:lang w:val="zh-CN" w:eastAsia="zh-CN" w:bidi="zh-CN"/>
      </w:rPr>
    </w:lvl>
    <w:lvl w:ilvl="3" w:tentative="0">
      <w:start w:val="0"/>
      <w:numFmt w:val="bullet"/>
      <w:lvlText w:val="•"/>
      <w:lvlJc w:val="left"/>
      <w:pPr>
        <w:ind w:left="2768" w:hanging="540"/>
      </w:pPr>
      <w:rPr>
        <w:lang w:val="zh-CN" w:eastAsia="zh-CN" w:bidi="zh-CN"/>
      </w:rPr>
    </w:lvl>
    <w:lvl w:ilvl="4" w:tentative="0">
      <w:start w:val="0"/>
      <w:numFmt w:val="bullet"/>
      <w:lvlText w:val="•"/>
      <w:lvlJc w:val="left"/>
      <w:pPr>
        <w:ind w:left="3642" w:hanging="540"/>
      </w:pPr>
      <w:rPr>
        <w:lang w:val="zh-CN" w:eastAsia="zh-CN" w:bidi="zh-CN"/>
      </w:rPr>
    </w:lvl>
    <w:lvl w:ilvl="5" w:tentative="0">
      <w:start w:val="0"/>
      <w:numFmt w:val="bullet"/>
      <w:lvlText w:val="•"/>
      <w:lvlJc w:val="left"/>
      <w:pPr>
        <w:ind w:left="4516" w:hanging="540"/>
      </w:pPr>
      <w:rPr>
        <w:lang w:val="zh-CN" w:eastAsia="zh-CN" w:bidi="zh-CN"/>
      </w:rPr>
    </w:lvl>
    <w:lvl w:ilvl="6" w:tentative="0">
      <w:start w:val="0"/>
      <w:numFmt w:val="bullet"/>
      <w:lvlText w:val="•"/>
      <w:lvlJc w:val="left"/>
      <w:pPr>
        <w:ind w:left="5390" w:hanging="540"/>
      </w:pPr>
      <w:rPr>
        <w:lang w:val="zh-CN" w:eastAsia="zh-CN" w:bidi="zh-CN"/>
      </w:rPr>
    </w:lvl>
    <w:lvl w:ilvl="7" w:tentative="0">
      <w:start w:val="0"/>
      <w:numFmt w:val="bullet"/>
      <w:lvlText w:val="•"/>
      <w:lvlJc w:val="left"/>
      <w:pPr>
        <w:ind w:left="6264" w:hanging="540"/>
      </w:pPr>
      <w:rPr>
        <w:lang w:val="zh-CN" w:eastAsia="zh-CN" w:bidi="zh-CN"/>
      </w:rPr>
    </w:lvl>
    <w:lvl w:ilvl="8" w:tentative="0">
      <w:start w:val="0"/>
      <w:numFmt w:val="bullet"/>
      <w:lvlText w:val="•"/>
      <w:lvlJc w:val="left"/>
      <w:pPr>
        <w:ind w:left="7138" w:hanging="540"/>
      </w:pPr>
      <w:rPr>
        <w:lang w:val="zh-CN" w:eastAsia="zh-CN" w:bidi="zh-CN"/>
      </w:rPr>
    </w:lvl>
  </w:abstractNum>
  <w:abstractNum w:abstractNumId="14">
    <w:nsid w:val="44F5318D"/>
    <w:multiLevelType w:val="multilevel"/>
    <w:tmpl w:val="44F5318D"/>
    <w:lvl w:ilvl="0" w:tentative="0">
      <w:start w:val="3"/>
      <w:numFmt w:val="decimal"/>
      <w:lvlText w:val="%1."/>
      <w:lvlJc w:val="left"/>
      <w:pPr>
        <w:ind w:left="898" w:hanging="244"/>
      </w:pPr>
      <w:rPr>
        <w:rFonts w:hint="eastAsia" w:ascii="宋体" w:hAnsi="宋体" w:eastAsia="宋体" w:cs="宋体"/>
        <w:b/>
        <w:bCs/>
        <w:spacing w:val="0"/>
        <w:w w:val="99"/>
        <w:sz w:val="22"/>
        <w:szCs w:val="22"/>
        <w:lang w:val="zh-CN" w:eastAsia="zh-CN" w:bidi="zh-CN"/>
      </w:rPr>
    </w:lvl>
    <w:lvl w:ilvl="1" w:tentative="0">
      <w:start w:val="1"/>
      <w:numFmt w:val="decimal"/>
      <w:lvlText w:val="%1.%2"/>
      <w:lvlJc w:val="left"/>
      <w:pPr>
        <w:ind w:left="220" w:hanging="420"/>
      </w:pPr>
      <w:rPr>
        <w:rFonts w:hint="eastAsia" w:ascii="宋体" w:hAnsi="宋体" w:eastAsia="宋体" w:cs="宋体"/>
        <w:w w:val="100"/>
        <w:sz w:val="24"/>
        <w:szCs w:val="24"/>
        <w:lang w:val="zh-CN" w:eastAsia="zh-CN" w:bidi="zh-CN"/>
      </w:rPr>
    </w:lvl>
    <w:lvl w:ilvl="2" w:tentative="0">
      <w:start w:val="1"/>
      <w:numFmt w:val="decimal"/>
      <w:lvlText w:val="%1.%2.%3"/>
      <w:lvlJc w:val="left"/>
      <w:pPr>
        <w:ind w:left="220" w:hanging="672"/>
      </w:pPr>
      <w:rPr>
        <w:rFonts w:hint="eastAsia" w:ascii="宋体" w:hAnsi="宋体" w:eastAsia="宋体" w:cs="宋体"/>
        <w:w w:val="100"/>
        <w:sz w:val="24"/>
        <w:szCs w:val="24"/>
        <w:lang w:val="zh-CN" w:eastAsia="zh-CN" w:bidi="zh-CN"/>
      </w:rPr>
    </w:lvl>
    <w:lvl w:ilvl="3" w:tentative="0">
      <w:start w:val="0"/>
      <w:numFmt w:val="bullet"/>
      <w:lvlText w:val="•"/>
      <w:lvlJc w:val="left"/>
      <w:pPr>
        <w:ind w:left="1320" w:hanging="672"/>
      </w:pPr>
      <w:rPr>
        <w:lang w:val="zh-CN" w:eastAsia="zh-CN" w:bidi="zh-CN"/>
      </w:rPr>
    </w:lvl>
    <w:lvl w:ilvl="4" w:tentative="0">
      <w:start w:val="0"/>
      <w:numFmt w:val="bullet"/>
      <w:lvlText w:val="•"/>
      <w:lvlJc w:val="left"/>
      <w:pPr>
        <w:ind w:left="2400" w:hanging="672"/>
      </w:pPr>
      <w:rPr>
        <w:lang w:val="zh-CN" w:eastAsia="zh-CN" w:bidi="zh-CN"/>
      </w:rPr>
    </w:lvl>
    <w:lvl w:ilvl="5" w:tentative="0">
      <w:start w:val="0"/>
      <w:numFmt w:val="bullet"/>
      <w:lvlText w:val="•"/>
      <w:lvlJc w:val="left"/>
      <w:pPr>
        <w:ind w:left="3481" w:hanging="672"/>
      </w:pPr>
      <w:rPr>
        <w:lang w:val="zh-CN" w:eastAsia="zh-CN" w:bidi="zh-CN"/>
      </w:rPr>
    </w:lvl>
    <w:lvl w:ilvl="6" w:tentative="0">
      <w:start w:val="0"/>
      <w:numFmt w:val="bullet"/>
      <w:lvlText w:val="•"/>
      <w:lvlJc w:val="left"/>
      <w:pPr>
        <w:ind w:left="4562" w:hanging="672"/>
      </w:pPr>
      <w:rPr>
        <w:lang w:val="zh-CN" w:eastAsia="zh-CN" w:bidi="zh-CN"/>
      </w:rPr>
    </w:lvl>
    <w:lvl w:ilvl="7" w:tentative="0">
      <w:start w:val="0"/>
      <w:numFmt w:val="bullet"/>
      <w:lvlText w:val="•"/>
      <w:lvlJc w:val="left"/>
      <w:pPr>
        <w:ind w:left="5643" w:hanging="672"/>
      </w:pPr>
      <w:rPr>
        <w:lang w:val="zh-CN" w:eastAsia="zh-CN" w:bidi="zh-CN"/>
      </w:rPr>
    </w:lvl>
    <w:lvl w:ilvl="8" w:tentative="0">
      <w:start w:val="0"/>
      <w:numFmt w:val="bullet"/>
      <w:lvlText w:val="•"/>
      <w:lvlJc w:val="left"/>
      <w:pPr>
        <w:ind w:left="6724" w:hanging="672"/>
      </w:pPr>
      <w:rPr>
        <w:lang w:val="zh-CN" w:eastAsia="zh-CN" w:bidi="zh-CN"/>
      </w:rPr>
    </w:lvl>
  </w:abstractNum>
  <w:abstractNum w:abstractNumId="15">
    <w:nsid w:val="4DFD232A"/>
    <w:multiLevelType w:val="multilevel"/>
    <w:tmpl w:val="4DFD232A"/>
    <w:lvl w:ilvl="0" w:tentative="0">
      <w:start w:val="11"/>
      <w:numFmt w:val="decimal"/>
      <w:lvlText w:val="%1"/>
      <w:lvlJc w:val="left"/>
      <w:pPr>
        <w:ind w:left="220" w:hanging="540"/>
      </w:pPr>
      <w:rPr>
        <w:lang w:val="zh-CN" w:eastAsia="zh-CN" w:bidi="zh-CN"/>
      </w:rPr>
    </w:lvl>
    <w:lvl w:ilvl="1" w:tentative="0">
      <w:start w:val="1"/>
      <w:numFmt w:val="decimal"/>
      <w:lvlText w:val="%1.%2"/>
      <w:lvlJc w:val="left"/>
      <w:pPr>
        <w:ind w:left="220" w:hanging="540"/>
      </w:pPr>
      <w:rPr>
        <w:rFonts w:hint="eastAsia" w:ascii="宋体" w:hAnsi="宋体" w:eastAsia="宋体" w:cs="宋体"/>
        <w:w w:val="100"/>
        <w:sz w:val="24"/>
        <w:szCs w:val="24"/>
        <w:lang w:val="zh-CN" w:eastAsia="zh-CN" w:bidi="zh-CN"/>
      </w:rPr>
    </w:lvl>
    <w:lvl w:ilvl="2" w:tentative="0">
      <w:start w:val="0"/>
      <w:numFmt w:val="bullet"/>
      <w:lvlText w:val="•"/>
      <w:lvlJc w:val="left"/>
      <w:pPr>
        <w:ind w:left="1953" w:hanging="540"/>
      </w:pPr>
      <w:rPr>
        <w:lang w:val="zh-CN" w:eastAsia="zh-CN" w:bidi="zh-CN"/>
      </w:rPr>
    </w:lvl>
    <w:lvl w:ilvl="3" w:tentative="0">
      <w:start w:val="0"/>
      <w:numFmt w:val="bullet"/>
      <w:lvlText w:val="•"/>
      <w:lvlJc w:val="left"/>
      <w:pPr>
        <w:ind w:left="2819" w:hanging="540"/>
      </w:pPr>
      <w:rPr>
        <w:lang w:val="zh-CN" w:eastAsia="zh-CN" w:bidi="zh-CN"/>
      </w:rPr>
    </w:lvl>
    <w:lvl w:ilvl="4" w:tentative="0">
      <w:start w:val="0"/>
      <w:numFmt w:val="bullet"/>
      <w:lvlText w:val="•"/>
      <w:lvlJc w:val="left"/>
      <w:pPr>
        <w:ind w:left="3686" w:hanging="540"/>
      </w:pPr>
      <w:rPr>
        <w:lang w:val="zh-CN" w:eastAsia="zh-CN" w:bidi="zh-CN"/>
      </w:rPr>
    </w:lvl>
    <w:lvl w:ilvl="5" w:tentative="0">
      <w:start w:val="0"/>
      <w:numFmt w:val="bullet"/>
      <w:lvlText w:val="•"/>
      <w:lvlJc w:val="left"/>
      <w:pPr>
        <w:ind w:left="4553" w:hanging="540"/>
      </w:pPr>
      <w:rPr>
        <w:lang w:val="zh-CN" w:eastAsia="zh-CN" w:bidi="zh-CN"/>
      </w:rPr>
    </w:lvl>
    <w:lvl w:ilvl="6" w:tentative="0">
      <w:start w:val="0"/>
      <w:numFmt w:val="bullet"/>
      <w:lvlText w:val="•"/>
      <w:lvlJc w:val="left"/>
      <w:pPr>
        <w:ind w:left="5419" w:hanging="540"/>
      </w:pPr>
      <w:rPr>
        <w:lang w:val="zh-CN" w:eastAsia="zh-CN" w:bidi="zh-CN"/>
      </w:rPr>
    </w:lvl>
    <w:lvl w:ilvl="7" w:tentative="0">
      <w:start w:val="0"/>
      <w:numFmt w:val="bullet"/>
      <w:lvlText w:val="•"/>
      <w:lvlJc w:val="left"/>
      <w:pPr>
        <w:ind w:left="6286" w:hanging="540"/>
      </w:pPr>
      <w:rPr>
        <w:lang w:val="zh-CN" w:eastAsia="zh-CN" w:bidi="zh-CN"/>
      </w:rPr>
    </w:lvl>
    <w:lvl w:ilvl="8" w:tentative="0">
      <w:start w:val="0"/>
      <w:numFmt w:val="bullet"/>
      <w:lvlText w:val="•"/>
      <w:lvlJc w:val="left"/>
      <w:pPr>
        <w:ind w:left="7153" w:hanging="540"/>
      </w:pPr>
      <w:rPr>
        <w:lang w:val="zh-CN" w:eastAsia="zh-CN" w:bidi="zh-CN"/>
      </w:rPr>
    </w:lvl>
  </w:abstractNum>
  <w:abstractNum w:abstractNumId="16">
    <w:nsid w:val="6A895B02"/>
    <w:multiLevelType w:val="multilevel"/>
    <w:tmpl w:val="6A895B02"/>
    <w:lvl w:ilvl="0" w:tentative="0">
      <w:start w:val="2"/>
      <w:numFmt w:val="decimal"/>
      <w:lvlText w:val="%1"/>
      <w:lvlJc w:val="left"/>
      <w:pPr>
        <w:ind w:left="220" w:hanging="432"/>
      </w:pPr>
      <w:rPr>
        <w:lang w:val="zh-CN" w:eastAsia="zh-CN" w:bidi="zh-CN"/>
      </w:rPr>
    </w:lvl>
    <w:lvl w:ilvl="1" w:tentative="0">
      <w:start w:val="1"/>
      <w:numFmt w:val="decimal"/>
      <w:lvlText w:val="%1.%2"/>
      <w:lvlJc w:val="left"/>
      <w:pPr>
        <w:ind w:left="220" w:hanging="432"/>
      </w:pPr>
      <w:rPr>
        <w:rFonts w:hint="eastAsia" w:ascii="宋体" w:hAnsi="宋体" w:eastAsia="宋体" w:cs="宋体"/>
        <w:w w:val="100"/>
        <w:sz w:val="24"/>
        <w:szCs w:val="24"/>
        <w:lang w:val="zh-CN" w:eastAsia="zh-CN" w:bidi="zh-CN"/>
      </w:rPr>
    </w:lvl>
    <w:lvl w:ilvl="2" w:tentative="0">
      <w:start w:val="0"/>
      <w:numFmt w:val="bullet"/>
      <w:lvlText w:val="•"/>
      <w:lvlJc w:val="left"/>
      <w:pPr>
        <w:ind w:left="1953" w:hanging="432"/>
      </w:pPr>
      <w:rPr>
        <w:lang w:val="zh-CN" w:eastAsia="zh-CN" w:bidi="zh-CN"/>
      </w:rPr>
    </w:lvl>
    <w:lvl w:ilvl="3" w:tentative="0">
      <w:start w:val="0"/>
      <w:numFmt w:val="bullet"/>
      <w:lvlText w:val="•"/>
      <w:lvlJc w:val="left"/>
      <w:pPr>
        <w:ind w:left="2819" w:hanging="432"/>
      </w:pPr>
      <w:rPr>
        <w:lang w:val="zh-CN" w:eastAsia="zh-CN" w:bidi="zh-CN"/>
      </w:rPr>
    </w:lvl>
    <w:lvl w:ilvl="4" w:tentative="0">
      <w:start w:val="0"/>
      <w:numFmt w:val="bullet"/>
      <w:lvlText w:val="•"/>
      <w:lvlJc w:val="left"/>
      <w:pPr>
        <w:ind w:left="3686" w:hanging="432"/>
      </w:pPr>
      <w:rPr>
        <w:lang w:val="zh-CN" w:eastAsia="zh-CN" w:bidi="zh-CN"/>
      </w:rPr>
    </w:lvl>
    <w:lvl w:ilvl="5" w:tentative="0">
      <w:start w:val="0"/>
      <w:numFmt w:val="bullet"/>
      <w:lvlText w:val="•"/>
      <w:lvlJc w:val="left"/>
      <w:pPr>
        <w:ind w:left="4553" w:hanging="432"/>
      </w:pPr>
      <w:rPr>
        <w:lang w:val="zh-CN" w:eastAsia="zh-CN" w:bidi="zh-CN"/>
      </w:rPr>
    </w:lvl>
    <w:lvl w:ilvl="6" w:tentative="0">
      <w:start w:val="0"/>
      <w:numFmt w:val="bullet"/>
      <w:lvlText w:val="•"/>
      <w:lvlJc w:val="left"/>
      <w:pPr>
        <w:ind w:left="5419" w:hanging="432"/>
      </w:pPr>
      <w:rPr>
        <w:lang w:val="zh-CN" w:eastAsia="zh-CN" w:bidi="zh-CN"/>
      </w:rPr>
    </w:lvl>
    <w:lvl w:ilvl="7" w:tentative="0">
      <w:start w:val="0"/>
      <w:numFmt w:val="bullet"/>
      <w:lvlText w:val="•"/>
      <w:lvlJc w:val="left"/>
      <w:pPr>
        <w:ind w:left="6286" w:hanging="432"/>
      </w:pPr>
      <w:rPr>
        <w:lang w:val="zh-CN" w:eastAsia="zh-CN" w:bidi="zh-CN"/>
      </w:rPr>
    </w:lvl>
    <w:lvl w:ilvl="8" w:tentative="0">
      <w:start w:val="0"/>
      <w:numFmt w:val="bullet"/>
      <w:lvlText w:val="•"/>
      <w:lvlJc w:val="left"/>
      <w:pPr>
        <w:ind w:left="7153" w:hanging="432"/>
      </w:pPr>
      <w:rPr>
        <w:lang w:val="zh-CN" w:eastAsia="zh-CN" w:bidi="zh-CN"/>
      </w:rPr>
    </w:lvl>
  </w:abstractNum>
  <w:abstractNum w:abstractNumId="17">
    <w:nsid w:val="6AC85059"/>
    <w:multiLevelType w:val="multilevel"/>
    <w:tmpl w:val="6AC85059"/>
    <w:lvl w:ilvl="0" w:tentative="0">
      <w:start w:val="33"/>
      <w:numFmt w:val="decimal"/>
      <w:lvlText w:val="%1."/>
      <w:lvlJc w:val="left"/>
      <w:pPr>
        <w:ind w:left="1022" w:hanging="365"/>
      </w:pPr>
      <w:rPr>
        <w:rFonts w:hint="eastAsia" w:ascii="宋体" w:hAnsi="宋体" w:eastAsia="宋体" w:cs="宋体"/>
        <w:b/>
        <w:bCs/>
        <w:spacing w:val="0"/>
        <w:w w:val="99"/>
        <w:sz w:val="22"/>
        <w:szCs w:val="22"/>
        <w:lang w:val="zh-CN" w:eastAsia="zh-CN" w:bidi="zh-CN"/>
      </w:rPr>
    </w:lvl>
    <w:lvl w:ilvl="1" w:tentative="0">
      <w:start w:val="1"/>
      <w:numFmt w:val="decimal"/>
      <w:lvlText w:val="%1.%2"/>
      <w:lvlJc w:val="left"/>
      <w:pPr>
        <w:ind w:left="220" w:hanging="540"/>
      </w:pPr>
      <w:rPr>
        <w:rFonts w:hint="eastAsia" w:ascii="宋体" w:hAnsi="宋体" w:eastAsia="宋体" w:cs="宋体"/>
        <w:w w:val="100"/>
        <w:sz w:val="24"/>
        <w:szCs w:val="24"/>
        <w:lang w:val="zh-CN" w:eastAsia="zh-CN" w:bidi="zh-CN"/>
      </w:rPr>
    </w:lvl>
    <w:lvl w:ilvl="2" w:tentative="0">
      <w:start w:val="0"/>
      <w:numFmt w:val="bullet"/>
      <w:lvlText w:val="•"/>
      <w:lvlJc w:val="left"/>
      <w:pPr>
        <w:ind w:left="1894" w:hanging="540"/>
      </w:pPr>
      <w:rPr>
        <w:lang w:val="zh-CN" w:eastAsia="zh-CN" w:bidi="zh-CN"/>
      </w:rPr>
    </w:lvl>
    <w:lvl w:ilvl="3" w:tentative="0">
      <w:start w:val="0"/>
      <w:numFmt w:val="bullet"/>
      <w:lvlText w:val="•"/>
      <w:lvlJc w:val="left"/>
      <w:pPr>
        <w:ind w:left="2768" w:hanging="540"/>
      </w:pPr>
      <w:rPr>
        <w:lang w:val="zh-CN" w:eastAsia="zh-CN" w:bidi="zh-CN"/>
      </w:rPr>
    </w:lvl>
    <w:lvl w:ilvl="4" w:tentative="0">
      <w:start w:val="0"/>
      <w:numFmt w:val="bullet"/>
      <w:lvlText w:val="•"/>
      <w:lvlJc w:val="left"/>
      <w:pPr>
        <w:ind w:left="3642" w:hanging="540"/>
      </w:pPr>
      <w:rPr>
        <w:lang w:val="zh-CN" w:eastAsia="zh-CN" w:bidi="zh-CN"/>
      </w:rPr>
    </w:lvl>
    <w:lvl w:ilvl="5" w:tentative="0">
      <w:start w:val="0"/>
      <w:numFmt w:val="bullet"/>
      <w:lvlText w:val="•"/>
      <w:lvlJc w:val="left"/>
      <w:pPr>
        <w:ind w:left="4516" w:hanging="540"/>
      </w:pPr>
      <w:rPr>
        <w:lang w:val="zh-CN" w:eastAsia="zh-CN" w:bidi="zh-CN"/>
      </w:rPr>
    </w:lvl>
    <w:lvl w:ilvl="6" w:tentative="0">
      <w:start w:val="0"/>
      <w:numFmt w:val="bullet"/>
      <w:lvlText w:val="•"/>
      <w:lvlJc w:val="left"/>
      <w:pPr>
        <w:ind w:left="5390" w:hanging="540"/>
      </w:pPr>
      <w:rPr>
        <w:lang w:val="zh-CN" w:eastAsia="zh-CN" w:bidi="zh-CN"/>
      </w:rPr>
    </w:lvl>
    <w:lvl w:ilvl="7" w:tentative="0">
      <w:start w:val="0"/>
      <w:numFmt w:val="bullet"/>
      <w:lvlText w:val="•"/>
      <w:lvlJc w:val="left"/>
      <w:pPr>
        <w:ind w:left="6264" w:hanging="540"/>
      </w:pPr>
      <w:rPr>
        <w:lang w:val="zh-CN" w:eastAsia="zh-CN" w:bidi="zh-CN"/>
      </w:rPr>
    </w:lvl>
    <w:lvl w:ilvl="8" w:tentative="0">
      <w:start w:val="0"/>
      <w:numFmt w:val="bullet"/>
      <w:lvlText w:val="•"/>
      <w:lvlJc w:val="left"/>
      <w:pPr>
        <w:ind w:left="7138" w:hanging="540"/>
      </w:pPr>
      <w:rPr>
        <w:lang w:val="zh-CN" w:eastAsia="zh-CN" w:bidi="zh-CN"/>
      </w:rPr>
    </w:lvl>
  </w:abstractNum>
  <w:abstractNum w:abstractNumId="18">
    <w:nsid w:val="6C914CF7"/>
    <w:multiLevelType w:val="multilevel"/>
    <w:tmpl w:val="6C914CF7"/>
    <w:lvl w:ilvl="0" w:tentative="0">
      <w:start w:val="1"/>
      <w:numFmt w:val="decimal"/>
      <w:lvlText w:val="%1."/>
      <w:lvlJc w:val="left"/>
      <w:pPr>
        <w:ind w:left="895" w:hanging="241"/>
      </w:pPr>
      <w:rPr>
        <w:rFonts w:hint="eastAsia" w:ascii="宋体" w:hAnsi="宋体" w:eastAsia="宋体" w:cs="宋体"/>
        <w:w w:val="100"/>
        <w:sz w:val="22"/>
        <w:szCs w:val="22"/>
        <w:lang w:val="zh-CN" w:eastAsia="zh-CN" w:bidi="zh-CN"/>
      </w:rPr>
    </w:lvl>
    <w:lvl w:ilvl="1" w:tentative="0">
      <w:start w:val="0"/>
      <w:numFmt w:val="bullet"/>
      <w:lvlText w:val="•"/>
      <w:lvlJc w:val="left"/>
      <w:pPr>
        <w:ind w:left="1698" w:hanging="241"/>
      </w:pPr>
      <w:rPr>
        <w:lang w:val="zh-CN" w:eastAsia="zh-CN" w:bidi="zh-CN"/>
      </w:rPr>
    </w:lvl>
    <w:lvl w:ilvl="2" w:tentative="0">
      <w:start w:val="0"/>
      <w:numFmt w:val="bullet"/>
      <w:lvlText w:val="•"/>
      <w:lvlJc w:val="left"/>
      <w:pPr>
        <w:ind w:left="2497" w:hanging="241"/>
      </w:pPr>
      <w:rPr>
        <w:lang w:val="zh-CN" w:eastAsia="zh-CN" w:bidi="zh-CN"/>
      </w:rPr>
    </w:lvl>
    <w:lvl w:ilvl="3" w:tentative="0">
      <w:start w:val="0"/>
      <w:numFmt w:val="bullet"/>
      <w:lvlText w:val="•"/>
      <w:lvlJc w:val="left"/>
      <w:pPr>
        <w:ind w:left="3295" w:hanging="241"/>
      </w:pPr>
      <w:rPr>
        <w:lang w:val="zh-CN" w:eastAsia="zh-CN" w:bidi="zh-CN"/>
      </w:rPr>
    </w:lvl>
    <w:lvl w:ilvl="4" w:tentative="0">
      <w:start w:val="0"/>
      <w:numFmt w:val="bullet"/>
      <w:lvlText w:val="•"/>
      <w:lvlJc w:val="left"/>
      <w:pPr>
        <w:ind w:left="4094" w:hanging="241"/>
      </w:pPr>
      <w:rPr>
        <w:lang w:val="zh-CN" w:eastAsia="zh-CN" w:bidi="zh-CN"/>
      </w:rPr>
    </w:lvl>
    <w:lvl w:ilvl="5" w:tentative="0">
      <w:start w:val="0"/>
      <w:numFmt w:val="bullet"/>
      <w:lvlText w:val="•"/>
      <w:lvlJc w:val="left"/>
      <w:pPr>
        <w:ind w:left="4893" w:hanging="241"/>
      </w:pPr>
      <w:rPr>
        <w:lang w:val="zh-CN" w:eastAsia="zh-CN" w:bidi="zh-CN"/>
      </w:rPr>
    </w:lvl>
    <w:lvl w:ilvl="6" w:tentative="0">
      <w:start w:val="0"/>
      <w:numFmt w:val="bullet"/>
      <w:lvlText w:val="•"/>
      <w:lvlJc w:val="left"/>
      <w:pPr>
        <w:ind w:left="5691" w:hanging="241"/>
      </w:pPr>
      <w:rPr>
        <w:lang w:val="zh-CN" w:eastAsia="zh-CN" w:bidi="zh-CN"/>
      </w:rPr>
    </w:lvl>
    <w:lvl w:ilvl="7" w:tentative="0">
      <w:start w:val="0"/>
      <w:numFmt w:val="bullet"/>
      <w:lvlText w:val="•"/>
      <w:lvlJc w:val="left"/>
      <w:pPr>
        <w:ind w:left="6490" w:hanging="241"/>
      </w:pPr>
      <w:rPr>
        <w:lang w:val="zh-CN" w:eastAsia="zh-CN" w:bidi="zh-CN"/>
      </w:rPr>
    </w:lvl>
    <w:lvl w:ilvl="8" w:tentative="0">
      <w:start w:val="0"/>
      <w:numFmt w:val="bullet"/>
      <w:lvlText w:val="•"/>
      <w:lvlJc w:val="left"/>
      <w:pPr>
        <w:ind w:left="7289" w:hanging="241"/>
      </w:pPr>
      <w:rPr>
        <w:lang w:val="zh-CN" w:eastAsia="zh-CN" w:bidi="zh-CN"/>
      </w:rPr>
    </w:lvl>
  </w:abstractNum>
  <w:abstractNum w:abstractNumId="19">
    <w:nsid w:val="73084B30"/>
    <w:multiLevelType w:val="multilevel"/>
    <w:tmpl w:val="73084B30"/>
    <w:lvl w:ilvl="0" w:tentative="0">
      <w:start w:val="14"/>
      <w:numFmt w:val="decimal"/>
      <w:lvlText w:val="%1"/>
      <w:lvlJc w:val="left"/>
      <w:pPr>
        <w:ind w:left="220" w:hanging="540"/>
      </w:pPr>
      <w:rPr>
        <w:lang w:val="zh-CN" w:eastAsia="zh-CN" w:bidi="zh-CN"/>
      </w:rPr>
    </w:lvl>
    <w:lvl w:ilvl="1" w:tentative="0">
      <w:start w:val="1"/>
      <w:numFmt w:val="decimal"/>
      <w:lvlText w:val="%1.%2"/>
      <w:lvlJc w:val="left"/>
      <w:pPr>
        <w:ind w:left="220" w:hanging="540"/>
      </w:pPr>
      <w:rPr>
        <w:rFonts w:hint="eastAsia" w:ascii="宋体" w:hAnsi="宋体" w:eastAsia="宋体" w:cs="宋体"/>
        <w:w w:val="100"/>
        <w:sz w:val="24"/>
        <w:szCs w:val="24"/>
        <w:lang w:val="zh-CN" w:eastAsia="zh-CN" w:bidi="zh-CN"/>
      </w:rPr>
    </w:lvl>
    <w:lvl w:ilvl="2" w:tentative="0">
      <w:start w:val="0"/>
      <w:numFmt w:val="bullet"/>
      <w:lvlText w:val="•"/>
      <w:lvlJc w:val="left"/>
      <w:pPr>
        <w:ind w:left="1953" w:hanging="540"/>
      </w:pPr>
      <w:rPr>
        <w:lang w:val="zh-CN" w:eastAsia="zh-CN" w:bidi="zh-CN"/>
      </w:rPr>
    </w:lvl>
    <w:lvl w:ilvl="3" w:tentative="0">
      <w:start w:val="0"/>
      <w:numFmt w:val="bullet"/>
      <w:lvlText w:val="•"/>
      <w:lvlJc w:val="left"/>
      <w:pPr>
        <w:ind w:left="2819" w:hanging="540"/>
      </w:pPr>
      <w:rPr>
        <w:lang w:val="zh-CN" w:eastAsia="zh-CN" w:bidi="zh-CN"/>
      </w:rPr>
    </w:lvl>
    <w:lvl w:ilvl="4" w:tentative="0">
      <w:start w:val="0"/>
      <w:numFmt w:val="bullet"/>
      <w:lvlText w:val="•"/>
      <w:lvlJc w:val="left"/>
      <w:pPr>
        <w:ind w:left="3686" w:hanging="540"/>
      </w:pPr>
      <w:rPr>
        <w:lang w:val="zh-CN" w:eastAsia="zh-CN" w:bidi="zh-CN"/>
      </w:rPr>
    </w:lvl>
    <w:lvl w:ilvl="5" w:tentative="0">
      <w:start w:val="0"/>
      <w:numFmt w:val="bullet"/>
      <w:lvlText w:val="•"/>
      <w:lvlJc w:val="left"/>
      <w:pPr>
        <w:ind w:left="4553" w:hanging="540"/>
      </w:pPr>
      <w:rPr>
        <w:lang w:val="zh-CN" w:eastAsia="zh-CN" w:bidi="zh-CN"/>
      </w:rPr>
    </w:lvl>
    <w:lvl w:ilvl="6" w:tentative="0">
      <w:start w:val="0"/>
      <w:numFmt w:val="bullet"/>
      <w:lvlText w:val="•"/>
      <w:lvlJc w:val="left"/>
      <w:pPr>
        <w:ind w:left="5419" w:hanging="540"/>
      </w:pPr>
      <w:rPr>
        <w:lang w:val="zh-CN" w:eastAsia="zh-CN" w:bidi="zh-CN"/>
      </w:rPr>
    </w:lvl>
    <w:lvl w:ilvl="7" w:tentative="0">
      <w:start w:val="0"/>
      <w:numFmt w:val="bullet"/>
      <w:lvlText w:val="•"/>
      <w:lvlJc w:val="left"/>
      <w:pPr>
        <w:ind w:left="6286" w:hanging="540"/>
      </w:pPr>
      <w:rPr>
        <w:lang w:val="zh-CN" w:eastAsia="zh-CN" w:bidi="zh-CN"/>
      </w:rPr>
    </w:lvl>
    <w:lvl w:ilvl="8" w:tentative="0">
      <w:start w:val="0"/>
      <w:numFmt w:val="bullet"/>
      <w:lvlText w:val="•"/>
      <w:lvlJc w:val="left"/>
      <w:pPr>
        <w:ind w:left="7153" w:hanging="540"/>
      </w:pPr>
      <w:rPr>
        <w:lang w:val="zh-CN" w:eastAsia="zh-CN" w:bidi="zh-CN"/>
      </w:rPr>
    </w:lvl>
  </w:abstractNum>
  <w:num w:numId="1">
    <w:abstractNumId w:val="9"/>
  </w:num>
  <w:num w:numId="2">
    <w:abstractNumId w:val="8"/>
    <w:lvlOverride w:ilvl="0">
      <w:startOverride w:val="1"/>
    </w:lvlOverride>
    <w:lvlOverride w:ilvl="1">
      <w:startOverride w:val="1"/>
    </w:lvlOverride>
  </w:num>
  <w:num w:numId="3">
    <w:abstractNumId w:val="16"/>
    <w:lvlOverride w:ilvl="0">
      <w:startOverride w:val="2"/>
    </w:lvlOverride>
    <w:lvlOverride w:ilvl="1">
      <w:startOverride w:val="1"/>
    </w:lvlOverride>
  </w:num>
  <w:num w:numId="4">
    <w:abstractNumId w:val="14"/>
    <w:lvlOverride w:ilvl="0">
      <w:startOverride w:val="3"/>
    </w:lvlOverride>
    <w:lvlOverride w:ilvl="1">
      <w:startOverride w:val="1"/>
    </w:lvlOverride>
    <w:lvlOverride w:ilvl="2">
      <w:startOverride w:val="1"/>
    </w:lvlOverride>
  </w:num>
  <w:num w:numId="5">
    <w:abstractNumId w:val="7"/>
    <w:lvlOverride w:ilvl="0">
      <w:startOverride w:val="6"/>
    </w:lvlOverride>
    <w:lvlOverride w:ilvl="1">
      <w:startOverride w:val="1"/>
    </w:lvlOverride>
  </w:num>
  <w:num w:numId="6">
    <w:abstractNumId w:val="0"/>
  </w:num>
  <w:num w:numId="7">
    <w:abstractNumId w:val="4"/>
    <w:lvlOverride w:ilvl="0">
      <w:startOverride w:val="9"/>
    </w:lvlOverride>
    <w:lvlOverride w:ilvl="1">
      <w:startOverride w:val="1"/>
    </w:lvlOverride>
  </w:num>
  <w:num w:numId="8">
    <w:abstractNumId w:val="15"/>
    <w:lvlOverride w:ilvl="0">
      <w:startOverride w:val="11"/>
    </w:lvlOverride>
    <w:lvlOverride w:ilvl="1">
      <w:startOverride w:val="1"/>
    </w:lvlOverride>
  </w:num>
  <w:num w:numId="9">
    <w:abstractNumId w:val="13"/>
    <w:lvlOverride w:ilvl="0">
      <w:startOverride w:val="12"/>
    </w:lvlOverride>
    <w:lvlOverride w:ilvl="1">
      <w:startOverride w:val="1"/>
    </w:lvlOverride>
  </w:num>
  <w:num w:numId="10">
    <w:abstractNumId w:val="19"/>
    <w:lvlOverride w:ilvl="0">
      <w:startOverride w:val="14"/>
    </w:lvlOverride>
    <w:lvlOverride w:ilvl="1">
      <w:startOverride w:val="1"/>
    </w:lvlOverride>
  </w:num>
  <w:num w:numId="11">
    <w:abstractNumId w:val="5"/>
    <w:lvlOverride w:ilvl="0">
      <w:startOverride w:val="15"/>
    </w:lvlOverride>
    <w:lvlOverride w:ilvl="1">
      <w:startOverride w:val="1"/>
    </w:lvlOverride>
  </w:num>
  <w:num w:numId="12">
    <w:abstractNumId w:val="10"/>
    <w:lvlOverride w:ilvl="0">
      <w:startOverride w:val="17"/>
    </w:lvlOverride>
    <w:lvlOverride w:ilvl="1">
      <w:startOverride w:val="1"/>
    </w:lvlOverride>
  </w:num>
  <w:num w:numId="13">
    <w:abstractNumId w:val="1"/>
    <w:lvlOverride w:ilvl="0">
      <w:startOverride w:val="20"/>
    </w:lvlOverride>
    <w:lvlOverride w:ilvl="1">
      <w:startOverride w:val="1"/>
    </w:lvlOverride>
    <w:lvlOverride w:ilvl="2">
      <w:startOverride w:val="1"/>
    </w:lvlOverride>
  </w:num>
  <w:num w:numId="14">
    <w:abstractNumId w:val="6"/>
    <w:lvlOverride w:ilvl="0">
      <w:startOverride w:val="24"/>
    </w:lvlOverride>
    <w:lvlOverride w:ilvl="1">
      <w:startOverride w:val="1"/>
    </w:lvlOverride>
  </w:num>
  <w:num w:numId="15">
    <w:abstractNumId w:val="12"/>
    <w:lvlOverride w:ilvl="0">
      <w:startOverride w:val="31"/>
    </w:lvlOverride>
    <w:lvlOverride w:ilvl="1">
      <w:startOverride w:val="1"/>
    </w:lvlOverride>
  </w:num>
  <w:num w:numId="16">
    <w:abstractNumId w:val="17"/>
    <w:lvlOverride w:ilvl="0">
      <w:startOverride w:val="33"/>
    </w:lvlOverride>
    <w:lvlOverride w:ilvl="1">
      <w:startOverride w:val="1"/>
    </w:lvlOverride>
  </w:num>
  <w:num w:numId="17">
    <w:abstractNumId w:val="11"/>
    <w:lvlOverride w:ilvl="0">
      <w:startOverride w:val="1"/>
    </w:lvlOverride>
    <w:lvlOverride w:ilvl="1">
      <w:startOverride w:val="1"/>
    </w:lvlOverride>
    <w:lvlOverride w:ilvl="2">
      <w:startOverride w:val="1"/>
    </w:lvlOverride>
  </w:num>
  <w:num w:numId="18">
    <w:abstractNumId w:val="2"/>
    <w:lvlOverride w:ilvl="0">
      <w:startOverride w:val="1"/>
    </w:lvlOverride>
  </w:num>
  <w:num w:numId="19">
    <w:abstractNumId w:val="18"/>
    <w:lvlOverride w:ilvl="0">
      <w:startOverride w:val="1"/>
    </w:lvlOverride>
  </w:num>
  <w:num w:numId="20">
    <w:abstractNumId w:val="3"/>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ZjAxMmU2ZTU2ODBmNmFhZTlmZDVjYzY0OTA4N2QifQ=="/>
  </w:docVars>
  <w:rsids>
    <w:rsidRoot w:val="00CD0515"/>
    <w:rsid w:val="0001502A"/>
    <w:rsid w:val="00054338"/>
    <w:rsid w:val="00063388"/>
    <w:rsid w:val="00063806"/>
    <w:rsid w:val="000816CE"/>
    <w:rsid w:val="00095A8E"/>
    <w:rsid w:val="000B6D62"/>
    <w:rsid w:val="000C7D31"/>
    <w:rsid w:val="000E4A09"/>
    <w:rsid w:val="000E7C83"/>
    <w:rsid w:val="000F0A68"/>
    <w:rsid w:val="00146890"/>
    <w:rsid w:val="0017055C"/>
    <w:rsid w:val="00191822"/>
    <w:rsid w:val="001918F5"/>
    <w:rsid w:val="00194038"/>
    <w:rsid w:val="001A4FF3"/>
    <w:rsid w:val="001C1845"/>
    <w:rsid w:val="001C5DFF"/>
    <w:rsid w:val="001F7574"/>
    <w:rsid w:val="00201A79"/>
    <w:rsid w:val="002328D1"/>
    <w:rsid w:val="002E6641"/>
    <w:rsid w:val="00344132"/>
    <w:rsid w:val="004038F8"/>
    <w:rsid w:val="00437C8C"/>
    <w:rsid w:val="004544C5"/>
    <w:rsid w:val="00490C50"/>
    <w:rsid w:val="004B62E0"/>
    <w:rsid w:val="004F77E7"/>
    <w:rsid w:val="0053585C"/>
    <w:rsid w:val="00540512"/>
    <w:rsid w:val="00545E92"/>
    <w:rsid w:val="00582012"/>
    <w:rsid w:val="005D4AB8"/>
    <w:rsid w:val="005F65D2"/>
    <w:rsid w:val="0060285C"/>
    <w:rsid w:val="0062009D"/>
    <w:rsid w:val="00645177"/>
    <w:rsid w:val="0065328E"/>
    <w:rsid w:val="00657988"/>
    <w:rsid w:val="0069287D"/>
    <w:rsid w:val="006A56AB"/>
    <w:rsid w:val="006B196D"/>
    <w:rsid w:val="006D011A"/>
    <w:rsid w:val="006F5E0E"/>
    <w:rsid w:val="00721294"/>
    <w:rsid w:val="00734775"/>
    <w:rsid w:val="00746775"/>
    <w:rsid w:val="00746B26"/>
    <w:rsid w:val="00766C9C"/>
    <w:rsid w:val="00781001"/>
    <w:rsid w:val="007836C2"/>
    <w:rsid w:val="00794719"/>
    <w:rsid w:val="007B59C3"/>
    <w:rsid w:val="007F26A1"/>
    <w:rsid w:val="00822B0C"/>
    <w:rsid w:val="008316FE"/>
    <w:rsid w:val="008912C6"/>
    <w:rsid w:val="00893664"/>
    <w:rsid w:val="008B127D"/>
    <w:rsid w:val="008D5917"/>
    <w:rsid w:val="008E673D"/>
    <w:rsid w:val="0092141F"/>
    <w:rsid w:val="00927578"/>
    <w:rsid w:val="00942413"/>
    <w:rsid w:val="00982085"/>
    <w:rsid w:val="00A10DB7"/>
    <w:rsid w:val="00A35232"/>
    <w:rsid w:val="00A40D65"/>
    <w:rsid w:val="00A80385"/>
    <w:rsid w:val="00AD4901"/>
    <w:rsid w:val="00AD56D1"/>
    <w:rsid w:val="00B17F19"/>
    <w:rsid w:val="00BA5616"/>
    <w:rsid w:val="00BC2B35"/>
    <w:rsid w:val="00BD3435"/>
    <w:rsid w:val="00C2136E"/>
    <w:rsid w:val="00C24AD1"/>
    <w:rsid w:val="00C3437C"/>
    <w:rsid w:val="00C53AFB"/>
    <w:rsid w:val="00C90B0E"/>
    <w:rsid w:val="00C965E6"/>
    <w:rsid w:val="00CA6235"/>
    <w:rsid w:val="00CC4848"/>
    <w:rsid w:val="00CD0515"/>
    <w:rsid w:val="00CD49CE"/>
    <w:rsid w:val="00D12D83"/>
    <w:rsid w:val="00D25E57"/>
    <w:rsid w:val="00D2777D"/>
    <w:rsid w:val="00D57614"/>
    <w:rsid w:val="00D75231"/>
    <w:rsid w:val="00D94F81"/>
    <w:rsid w:val="00D960EB"/>
    <w:rsid w:val="00E531DD"/>
    <w:rsid w:val="00E831AE"/>
    <w:rsid w:val="00EB3685"/>
    <w:rsid w:val="00EC0AA3"/>
    <w:rsid w:val="00ED0FEA"/>
    <w:rsid w:val="00F11B3A"/>
    <w:rsid w:val="00F46A8C"/>
    <w:rsid w:val="00F50780"/>
    <w:rsid w:val="00F52298"/>
    <w:rsid w:val="00F66320"/>
    <w:rsid w:val="03F4015E"/>
    <w:rsid w:val="06351744"/>
    <w:rsid w:val="0B357308"/>
    <w:rsid w:val="0F4946D0"/>
    <w:rsid w:val="12217588"/>
    <w:rsid w:val="12D164B8"/>
    <w:rsid w:val="177607DB"/>
    <w:rsid w:val="18BC06C4"/>
    <w:rsid w:val="1A653EF6"/>
    <w:rsid w:val="1B666347"/>
    <w:rsid w:val="1F574BE7"/>
    <w:rsid w:val="213827F6"/>
    <w:rsid w:val="226D34A5"/>
    <w:rsid w:val="25304129"/>
    <w:rsid w:val="2E6C3092"/>
    <w:rsid w:val="38232C7E"/>
    <w:rsid w:val="3B61479C"/>
    <w:rsid w:val="3D2B4416"/>
    <w:rsid w:val="406B3BF6"/>
    <w:rsid w:val="410676D9"/>
    <w:rsid w:val="4AF366E6"/>
    <w:rsid w:val="4DDD4D0E"/>
    <w:rsid w:val="4DF057D0"/>
    <w:rsid w:val="4F564A5B"/>
    <w:rsid w:val="53FD5056"/>
    <w:rsid w:val="57E16B2B"/>
    <w:rsid w:val="5CE2128D"/>
    <w:rsid w:val="5E0129B1"/>
    <w:rsid w:val="60026CCD"/>
    <w:rsid w:val="6E001D9C"/>
    <w:rsid w:val="72EE5E3E"/>
    <w:rsid w:val="731A6C33"/>
    <w:rsid w:val="74AD308D"/>
    <w:rsid w:val="75A5650E"/>
    <w:rsid w:val="772956DC"/>
    <w:rsid w:val="7D4E3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1" w:semiHidden="0" w:name="heading 3"/>
    <w:lsdException w:qFormat="1" w:uiPriority="9" w:semiHidden="0" w:name="heading 4"/>
    <w:lsdException w:qFormat="1" w:uiPriority="99" w:semiHidden="0" w:name="heading 5"/>
    <w:lsdException w:qFormat="1" w:uiPriority="99" w:semiHidden="0" w:name="heading 6"/>
    <w:lsdException w:qFormat="1" w:uiPriority="99" w:semiHidden="0" w:name="heading 7"/>
    <w:lsdException w:qFormat="1" w:uiPriority="99" w:semiHidden="0" w:name="heading 8"/>
    <w:lsdException w:qFormat="1"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99" w:semiHidden="0" w:name="toc 3"/>
    <w:lsdException w:qFormat="1" w:uiPriority="99" w:semiHidden="0" w:name="toc 4"/>
    <w:lsdException w:uiPriority="39" w:name="toc 5"/>
    <w:lsdException w:uiPriority="39" w:name="toc 6"/>
    <w:lsdException w:uiPriority="39" w:name="toc 7"/>
    <w:lsdException w:qFormat="1" w:uiPriority="99" w:semiHidden="0" w:name="toc 8"/>
    <w:lsdException w:uiPriority="39"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iPriority="99" w:name="Body Text First Indent 2"/>
    <w:lsdException w:uiPriority="99" w:name="Note Heading"/>
    <w:lsdException w:uiPriority="99" w:name="Body Text 2"/>
    <w:lsdException w:qFormat="1" w:uiPriority="99" w:semiHidden="0" w:name="Body Text 3"/>
    <w:lsdException w:uiPriority="99"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81"/>
    <w:qFormat/>
    <w:uiPriority w:val="1"/>
    <w:pPr>
      <w:spacing w:before="54"/>
      <w:jc w:val="center"/>
      <w:outlineLvl w:val="0"/>
    </w:pPr>
    <w:rPr>
      <w:b/>
      <w:bCs/>
      <w:sz w:val="28"/>
      <w:szCs w:val="28"/>
    </w:rPr>
  </w:style>
  <w:style w:type="paragraph" w:styleId="4">
    <w:name w:val="heading 2"/>
    <w:basedOn w:val="1"/>
    <w:next w:val="1"/>
    <w:link w:val="82"/>
    <w:unhideWhenUsed/>
    <w:qFormat/>
    <w:uiPriority w:val="0"/>
    <w:pPr>
      <w:spacing w:before="150"/>
      <w:ind w:left="1647" w:right="1806"/>
      <w:jc w:val="center"/>
      <w:outlineLvl w:val="1"/>
    </w:pPr>
    <w:rPr>
      <w:i/>
      <w:sz w:val="25"/>
      <w:szCs w:val="25"/>
    </w:rPr>
  </w:style>
  <w:style w:type="paragraph" w:styleId="5">
    <w:name w:val="heading 3"/>
    <w:basedOn w:val="1"/>
    <w:next w:val="1"/>
    <w:link w:val="86"/>
    <w:unhideWhenUsed/>
    <w:qFormat/>
    <w:uiPriority w:val="1"/>
    <w:pPr>
      <w:keepNext/>
      <w:keepLines/>
      <w:autoSpaceDE/>
      <w:autoSpaceDN/>
      <w:spacing w:before="260" w:after="260" w:line="412" w:lineRule="auto"/>
      <w:jc w:val="both"/>
      <w:outlineLvl w:val="2"/>
    </w:pPr>
    <w:rPr>
      <w:rFonts w:ascii="Times New Roman" w:hAnsi="Times New Roman" w:cs="Times New Roman"/>
      <w:b/>
      <w:bCs/>
      <w:sz w:val="32"/>
      <w:szCs w:val="32"/>
      <w:lang w:bidi="ar-SA"/>
    </w:rPr>
  </w:style>
  <w:style w:type="paragraph" w:styleId="6">
    <w:name w:val="heading 4"/>
    <w:basedOn w:val="1"/>
    <w:next w:val="1"/>
    <w:link w:val="85"/>
    <w:unhideWhenUsed/>
    <w:qFormat/>
    <w:uiPriority w:val="9"/>
    <w:pPr>
      <w:keepNext/>
      <w:keepLines/>
      <w:spacing w:before="280" w:after="290" w:line="374" w:lineRule="auto"/>
      <w:outlineLvl w:val="3"/>
    </w:pPr>
    <w:rPr>
      <w:rFonts w:ascii="Cambria" w:hAnsi="Cambria"/>
      <w:b/>
      <w:bCs/>
      <w:sz w:val="28"/>
      <w:szCs w:val="28"/>
    </w:rPr>
  </w:style>
  <w:style w:type="paragraph" w:styleId="7">
    <w:name w:val="heading 5"/>
    <w:basedOn w:val="1"/>
    <w:next w:val="1"/>
    <w:link w:val="87"/>
    <w:unhideWhenUsed/>
    <w:qFormat/>
    <w:uiPriority w:val="99"/>
    <w:pPr>
      <w:keepNext/>
      <w:keepLines/>
      <w:autoSpaceDE/>
      <w:autoSpaceDN/>
      <w:spacing w:line="372" w:lineRule="auto"/>
      <w:jc w:val="both"/>
      <w:outlineLvl w:val="4"/>
    </w:pPr>
    <w:rPr>
      <w:rFonts w:ascii="Calibri" w:hAnsi="Calibri" w:cs="Times New Roman"/>
      <w:b/>
      <w:bCs/>
      <w:sz w:val="28"/>
      <w:szCs w:val="28"/>
      <w:lang w:bidi="ar-SA"/>
    </w:rPr>
  </w:style>
  <w:style w:type="paragraph" w:styleId="8">
    <w:name w:val="heading 6"/>
    <w:basedOn w:val="1"/>
    <w:next w:val="1"/>
    <w:link w:val="88"/>
    <w:unhideWhenUsed/>
    <w:qFormat/>
    <w:uiPriority w:val="99"/>
    <w:pPr>
      <w:keepNext/>
      <w:keepLines/>
      <w:widowControl/>
      <w:tabs>
        <w:tab w:val="left" w:pos="1440"/>
      </w:tabs>
      <w:autoSpaceDE/>
      <w:autoSpaceDN/>
      <w:spacing w:before="240" w:after="64" w:line="316" w:lineRule="auto"/>
      <w:ind w:left="1152" w:hanging="1152"/>
      <w:outlineLvl w:val="5"/>
    </w:pPr>
    <w:rPr>
      <w:rFonts w:ascii="Arial" w:hAnsi="Arial" w:eastAsia="黑体" w:cs="Times New Roman"/>
      <w:b/>
      <w:bCs/>
      <w:sz w:val="24"/>
      <w:szCs w:val="24"/>
      <w:lang w:bidi="ar-SA"/>
    </w:rPr>
  </w:style>
  <w:style w:type="paragraph" w:styleId="9">
    <w:name w:val="heading 7"/>
    <w:basedOn w:val="1"/>
    <w:next w:val="1"/>
    <w:link w:val="89"/>
    <w:unhideWhenUsed/>
    <w:qFormat/>
    <w:uiPriority w:val="99"/>
    <w:pPr>
      <w:keepNext/>
      <w:keepLines/>
      <w:widowControl/>
      <w:tabs>
        <w:tab w:val="left" w:pos="2520"/>
      </w:tabs>
      <w:autoSpaceDE/>
      <w:autoSpaceDN/>
      <w:spacing w:before="240" w:after="64" w:line="316" w:lineRule="auto"/>
      <w:ind w:left="1296" w:hanging="1296"/>
      <w:outlineLvl w:val="6"/>
    </w:pPr>
    <w:rPr>
      <w:rFonts w:ascii="Times New Roman" w:hAnsi="Times New Roman" w:cs="Times New Roman"/>
      <w:b/>
      <w:bCs/>
      <w:sz w:val="24"/>
      <w:szCs w:val="24"/>
      <w:lang w:bidi="ar-SA"/>
    </w:rPr>
  </w:style>
  <w:style w:type="paragraph" w:styleId="10">
    <w:name w:val="heading 8"/>
    <w:basedOn w:val="1"/>
    <w:next w:val="1"/>
    <w:link w:val="90"/>
    <w:unhideWhenUsed/>
    <w:qFormat/>
    <w:uiPriority w:val="99"/>
    <w:pPr>
      <w:keepNext/>
      <w:keepLines/>
      <w:widowControl/>
      <w:tabs>
        <w:tab w:val="left" w:pos="1440"/>
      </w:tabs>
      <w:autoSpaceDE/>
      <w:autoSpaceDN/>
      <w:spacing w:before="240" w:after="64" w:line="316" w:lineRule="auto"/>
      <w:ind w:left="1440" w:hanging="1440"/>
      <w:outlineLvl w:val="7"/>
    </w:pPr>
    <w:rPr>
      <w:rFonts w:ascii="Arial" w:hAnsi="Arial" w:eastAsia="黑体" w:cs="Times New Roman"/>
      <w:sz w:val="24"/>
      <w:szCs w:val="24"/>
      <w:lang w:bidi="ar-SA"/>
    </w:rPr>
  </w:style>
  <w:style w:type="paragraph" w:styleId="11">
    <w:name w:val="heading 9"/>
    <w:basedOn w:val="1"/>
    <w:next w:val="1"/>
    <w:link w:val="91"/>
    <w:unhideWhenUsed/>
    <w:qFormat/>
    <w:uiPriority w:val="99"/>
    <w:pPr>
      <w:keepNext/>
      <w:keepLines/>
      <w:widowControl/>
      <w:tabs>
        <w:tab w:val="left" w:pos="1584"/>
      </w:tabs>
      <w:autoSpaceDE/>
      <w:autoSpaceDN/>
      <w:spacing w:before="240" w:after="64" w:line="316" w:lineRule="auto"/>
      <w:ind w:left="1584" w:hanging="1584"/>
      <w:outlineLvl w:val="8"/>
    </w:pPr>
    <w:rPr>
      <w:rFonts w:ascii="Arial" w:hAnsi="Arial" w:eastAsia="黑体" w:cs="Times New Roman"/>
      <w:sz w:val="20"/>
      <w:szCs w:val="21"/>
      <w:lang w:bidi="ar-SA"/>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rFonts w:eastAsia="仿宋_GB2312" w:cs="宋体"/>
      <w:sz w:val="24"/>
      <w:szCs w:val="20"/>
    </w:rPr>
  </w:style>
  <w:style w:type="paragraph" w:styleId="12">
    <w:name w:val="Normal Indent"/>
    <w:basedOn w:val="1"/>
    <w:next w:val="1"/>
    <w:unhideWhenUsed/>
    <w:qFormat/>
    <w:uiPriority w:val="99"/>
    <w:pPr>
      <w:autoSpaceDE/>
      <w:autoSpaceDN/>
      <w:ind w:firstLine="200" w:firstLineChars="200"/>
      <w:jc w:val="both"/>
    </w:pPr>
    <w:rPr>
      <w:rFonts w:ascii="Times New Roman" w:hAnsi="Times New Roman" w:cs="Times New Roman"/>
      <w:kern w:val="2"/>
      <w:sz w:val="21"/>
      <w:szCs w:val="21"/>
      <w:lang w:val="en-US" w:bidi="ar-SA"/>
    </w:rPr>
  </w:style>
  <w:style w:type="paragraph" w:styleId="13">
    <w:name w:val="Document Map"/>
    <w:basedOn w:val="1"/>
    <w:next w:val="1"/>
    <w:link w:val="64"/>
    <w:unhideWhenUsed/>
    <w:qFormat/>
    <w:uiPriority w:val="99"/>
    <w:pPr>
      <w:shd w:val="clear" w:color="auto" w:fill="000080"/>
      <w:autoSpaceDE/>
      <w:autoSpaceDN/>
      <w:jc w:val="both"/>
    </w:pPr>
    <w:rPr>
      <w:rFonts w:ascii="Calibri" w:hAnsi="Calibri" w:cs="Times New Roman"/>
      <w:sz w:val="20"/>
      <w:szCs w:val="24"/>
      <w:lang w:val="en-US" w:bidi="ar-SA"/>
    </w:rPr>
  </w:style>
  <w:style w:type="paragraph" w:styleId="14">
    <w:name w:val="annotation text"/>
    <w:basedOn w:val="1"/>
    <w:next w:val="1"/>
    <w:link w:val="106"/>
    <w:unhideWhenUsed/>
    <w:qFormat/>
    <w:uiPriority w:val="99"/>
  </w:style>
  <w:style w:type="paragraph" w:styleId="15">
    <w:name w:val="Body Text 3"/>
    <w:basedOn w:val="1"/>
    <w:next w:val="1"/>
    <w:link w:val="62"/>
    <w:unhideWhenUsed/>
    <w:qFormat/>
    <w:uiPriority w:val="99"/>
    <w:pPr>
      <w:autoSpaceDE/>
      <w:autoSpaceDN/>
      <w:spacing w:after="120"/>
      <w:jc w:val="both"/>
    </w:pPr>
    <w:rPr>
      <w:rFonts w:ascii="Times New Roman" w:hAnsi="Times New Roman" w:cs="Times New Roman"/>
      <w:sz w:val="16"/>
      <w:szCs w:val="16"/>
      <w:lang w:val="en-US" w:bidi="ar-SA"/>
    </w:rPr>
  </w:style>
  <w:style w:type="paragraph" w:styleId="16">
    <w:name w:val="Body Text"/>
    <w:basedOn w:val="1"/>
    <w:next w:val="1"/>
    <w:link w:val="84"/>
    <w:unhideWhenUsed/>
    <w:qFormat/>
    <w:uiPriority w:val="1"/>
    <w:rPr>
      <w:sz w:val="24"/>
      <w:szCs w:val="24"/>
    </w:rPr>
  </w:style>
  <w:style w:type="paragraph" w:styleId="17">
    <w:name w:val="Body Text Indent"/>
    <w:basedOn w:val="1"/>
    <w:next w:val="18"/>
    <w:link w:val="59"/>
    <w:unhideWhenUsed/>
    <w:qFormat/>
    <w:uiPriority w:val="99"/>
    <w:pPr>
      <w:autoSpaceDE/>
      <w:autoSpaceDN/>
      <w:spacing w:after="120"/>
      <w:ind w:left="420" w:leftChars="200"/>
      <w:jc w:val="both"/>
    </w:pPr>
    <w:rPr>
      <w:rFonts w:ascii="Times New Roman" w:hAnsi="Times New Roman" w:cs="Times New Roman"/>
      <w:sz w:val="20"/>
      <w:szCs w:val="24"/>
      <w:lang w:val="en-US" w:bidi="ar-SA"/>
    </w:rPr>
  </w:style>
  <w:style w:type="paragraph" w:styleId="18">
    <w:name w:val="envelope return"/>
    <w:qFormat/>
    <w:uiPriority w:val="0"/>
    <w:pPr>
      <w:widowControl w:val="0"/>
      <w:snapToGrid w:val="0"/>
      <w:jc w:val="both"/>
    </w:pPr>
    <w:rPr>
      <w:rFonts w:ascii="Arial" w:hAnsi="Arial" w:eastAsia="宋体" w:cs="Times New Roman"/>
      <w:kern w:val="2"/>
      <w:sz w:val="21"/>
      <w:szCs w:val="21"/>
      <w:lang w:val="en-US" w:eastAsia="zh-CN" w:bidi="ar-SA"/>
    </w:rPr>
  </w:style>
  <w:style w:type="paragraph" w:styleId="19">
    <w:name w:val="toc 3"/>
    <w:basedOn w:val="1"/>
    <w:next w:val="1"/>
    <w:unhideWhenUsed/>
    <w:qFormat/>
    <w:uiPriority w:val="99"/>
    <w:pPr>
      <w:autoSpaceDE/>
      <w:autoSpaceDN/>
      <w:ind w:left="840" w:leftChars="400"/>
      <w:jc w:val="both"/>
    </w:pPr>
    <w:rPr>
      <w:rFonts w:ascii="Calibri" w:hAnsi="Calibri" w:cs="Times New Roman"/>
      <w:kern w:val="2"/>
      <w:sz w:val="21"/>
      <w:lang w:val="en-US" w:bidi="ar-SA"/>
    </w:rPr>
  </w:style>
  <w:style w:type="paragraph" w:styleId="20">
    <w:name w:val="Plain Text"/>
    <w:basedOn w:val="1"/>
    <w:next w:val="1"/>
    <w:link w:val="83"/>
    <w:unhideWhenUsed/>
    <w:qFormat/>
    <w:uiPriority w:val="0"/>
    <w:pPr>
      <w:autoSpaceDE/>
      <w:autoSpaceDN/>
      <w:jc w:val="both"/>
    </w:pPr>
    <w:rPr>
      <w:rFonts w:hAnsi="Courier New" w:cs="Times New Roman"/>
      <w:kern w:val="2"/>
      <w:sz w:val="21"/>
      <w:lang w:val="en-US" w:bidi="ar-SA"/>
    </w:rPr>
  </w:style>
  <w:style w:type="paragraph" w:styleId="21">
    <w:name w:val="toc 8"/>
    <w:basedOn w:val="1"/>
    <w:next w:val="1"/>
    <w:unhideWhenUsed/>
    <w:qFormat/>
    <w:uiPriority w:val="99"/>
    <w:pPr>
      <w:autoSpaceDE/>
      <w:autoSpaceDN/>
      <w:ind w:left="2940"/>
      <w:jc w:val="both"/>
    </w:pPr>
    <w:rPr>
      <w:rFonts w:ascii="Times New Roman" w:hAnsi="Times New Roman" w:cs="Times New Roman"/>
      <w:kern w:val="2"/>
      <w:sz w:val="21"/>
      <w:szCs w:val="21"/>
      <w:lang w:val="en-US" w:bidi="ar-SA"/>
    </w:rPr>
  </w:style>
  <w:style w:type="paragraph" w:styleId="22">
    <w:name w:val="Date"/>
    <w:basedOn w:val="1"/>
    <w:next w:val="1"/>
    <w:link w:val="60"/>
    <w:unhideWhenUsed/>
    <w:qFormat/>
    <w:uiPriority w:val="99"/>
    <w:pPr>
      <w:autoSpaceDE/>
      <w:autoSpaceDN/>
      <w:jc w:val="both"/>
    </w:pPr>
    <w:rPr>
      <w:rFonts w:ascii="Times New Roman" w:hAnsi="Times New Roman" w:cs="Times New Roman"/>
      <w:sz w:val="24"/>
      <w:szCs w:val="21"/>
      <w:lang w:val="en-US" w:bidi="ar-SA"/>
    </w:rPr>
  </w:style>
  <w:style w:type="paragraph" w:styleId="23">
    <w:name w:val="Balloon Text"/>
    <w:basedOn w:val="1"/>
    <w:next w:val="1"/>
    <w:link w:val="80"/>
    <w:unhideWhenUsed/>
    <w:qFormat/>
    <w:uiPriority w:val="99"/>
    <w:rPr>
      <w:sz w:val="18"/>
      <w:szCs w:val="18"/>
    </w:rPr>
  </w:style>
  <w:style w:type="paragraph" w:styleId="24">
    <w:name w:val="footer"/>
    <w:basedOn w:val="1"/>
    <w:next w:val="1"/>
    <w:link w:val="78"/>
    <w:unhideWhenUsed/>
    <w:qFormat/>
    <w:uiPriority w:val="99"/>
    <w:pPr>
      <w:tabs>
        <w:tab w:val="center" w:pos="4153"/>
        <w:tab w:val="right" w:pos="8306"/>
      </w:tabs>
      <w:snapToGrid w:val="0"/>
    </w:pPr>
    <w:rPr>
      <w:sz w:val="18"/>
      <w:szCs w:val="18"/>
    </w:rPr>
  </w:style>
  <w:style w:type="paragraph" w:styleId="25">
    <w:name w:val="header"/>
    <w:basedOn w:val="1"/>
    <w:next w:val="1"/>
    <w:link w:val="77"/>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pPr>
      <w:spacing w:before="177"/>
      <w:ind w:left="441"/>
    </w:pPr>
    <w:rPr>
      <w:b/>
      <w:bCs/>
    </w:rPr>
  </w:style>
  <w:style w:type="paragraph" w:styleId="27">
    <w:name w:val="toc 4"/>
    <w:basedOn w:val="1"/>
    <w:next w:val="1"/>
    <w:unhideWhenUsed/>
    <w:qFormat/>
    <w:uiPriority w:val="99"/>
    <w:pPr>
      <w:tabs>
        <w:tab w:val="left" w:pos="1890"/>
        <w:tab w:val="right" w:leader="dot" w:pos="8296"/>
      </w:tabs>
      <w:autoSpaceDE/>
      <w:autoSpaceDN/>
      <w:ind w:left="630" w:leftChars="300"/>
      <w:jc w:val="both"/>
    </w:pPr>
    <w:rPr>
      <w:rFonts w:ascii="Calibri" w:hAnsi="Calibri" w:cs="Times New Roman"/>
      <w:kern w:val="2"/>
      <w:sz w:val="21"/>
      <w:lang w:val="en-US" w:bidi="ar-SA"/>
    </w:rPr>
  </w:style>
  <w:style w:type="paragraph" w:styleId="28">
    <w:name w:val="footnote text"/>
    <w:basedOn w:val="1"/>
    <w:next w:val="1"/>
    <w:link w:val="114"/>
    <w:unhideWhenUsed/>
    <w:qFormat/>
    <w:uiPriority w:val="99"/>
    <w:pPr>
      <w:snapToGrid w:val="0"/>
    </w:pPr>
    <w:rPr>
      <w:sz w:val="18"/>
      <w:szCs w:val="18"/>
    </w:rPr>
  </w:style>
  <w:style w:type="paragraph" w:styleId="29">
    <w:name w:val="Body Text Indent 3"/>
    <w:basedOn w:val="1"/>
    <w:next w:val="1"/>
    <w:link w:val="63"/>
    <w:unhideWhenUsed/>
    <w:qFormat/>
    <w:uiPriority w:val="99"/>
    <w:pPr>
      <w:autoSpaceDE/>
      <w:autoSpaceDN/>
      <w:spacing w:after="120"/>
      <w:ind w:left="420" w:leftChars="200"/>
      <w:jc w:val="both"/>
    </w:pPr>
    <w:rPr>
      <w:rFonts w:ascii="Times New Roman" w:hAnsi="Times New Roman" w:cs="Times New Roman"/>
      <w:sz w:val="16"/>
      <w:szCs w:val="16"/>
      <w:lang w:val="en-US" w:bidi="ar-SA"/>
    </w:rPr>
  </w:style>
  <w:style w:type="paragraph" w:styleId="30">
    <w:name w:val="Normal (Web)"/>
    <w:basedOn w:val="1"/>
    <w:unhideWhenUsed/>
    <w:qFormat/>
    <w:uiPriority w:val="99"/>
    <w:pPr>
      <w:autoSpaceDE/>
      <w:autoSpaceDN/>
      <w:spacing w:before="100" w:beforeAutospacing="1" w:after="75"/>
    </w:pPr>
    <w:rPr>
      <w:rFonts w:ascii="Times New Roman" w:hAnsi="Times New Roman" w:cs="Times New Roman"/>
      <w:sz w:val="24"/>
      <w:szCs w:val="24"/>
      <w:lang w:val="en-US" w:bidi="ar-SA"/>
    </w:rPr>
  </w:style>
  <w:style w:type="paragraph" w:styleId="31">
    <w:name w:val="Title"/>
    <w:basedOn w:val="1"/>
    <w:next w:val="1"/>
    <w:link w:val="57"/>
    <w:qFormat/>
    <w:uiPriority w:val="99"/>
    <w:pPr>
      <w:autoSpaceDE/>
      <w:autoSpaceDN/>
      <w:adjustRightInd w:val="0"/>
      <w:spacing w:before="240" w:after="60" w:line="420" w:lineRule="atLeast"/>
      <w:jc w:val="center"/>
      <w:outlineLvl w:val="0"/>
    </w:pPr>
    <w:rPr>
      <w:rFonts w:ascii="Arial" w:hAnsi="Arial" w:cs="Times New Roman"/>
      <w:b/>
      <w:sz w:val="20"/>
      <w:szCs w:val="20"/>
      <w:lang w:val="en-US" w:bidi="ar-SA"/>
    </w:rPr>
  </w:style>
  <w:style w:type="paragraph" w:styleId="32">
    <w:name w:val="annotation subject"/>
    <w:basedOn w:val="14"/>
    <w:next w:val="14"/>
    <w:link w:val="66"/>
    <w:unhideWhenUsed/>
    <w:qFormat/>
    <w:uiPriority w:val="99"/>
    <w:pPr>
      <w:autoSpaceDE/>
      <w:autoSpaceDN/>
      <w:jc w:val="both"/>
    </w:pPr>
    <w:rPr>
      <w:rFonts w:ascii="Calibri" w:hAnsi="Calibri" w:cs="Times New Roman"/>
      <w:b/>
      <w:bCs/>
      <w:sz w:val="20"/>
      <w:szCs w:val="24"/>
      <w:lang w:val="en-US" w:bidi="ar-SA"/>
    </w:rPr>
  </w:style>
  <w:style w:type="paragraph" w:styleId="33">
    <w:name w:val="Body Text First Indent"/>
    <w:basedOn w:val="16"/>
    <w:next w:val="1"/>
    <w:link w:val="61"/>
    <w:unhideWhenUsed/>
    <w:qFormat/>
    <w:uiPriority w:val="99"/>
    <w:pPr>
      <w:autoSpaceDE/>
      <w:autoSpaceDN/>
      <w:spacing w:line="312" w:lineRule="auto"/>
      <w:ind w:firstLine="420"/>
      <w:jc w:val="both"/>
    </w:pPr>
    <w:rPr>
      <w:rFonts w:ascii="Calibri" w:hAnsi="Calibri" w:cs="Times New Roman"/>
      <w:sz w:val="20"/>
      <w:lang w:val="en-US" w:bidi="ar-SA"/>
    </w:rPr>
  </w:style>
  <w:style w:type="paragraph" w:styleId="34">
    <w:name w:val="Body Text First Indent 2"/>
    <w:basedOn w:val="17"/>
    <w:link w:val="135"/>
    <w:semiHidden/>
    <w:unhideWhenUsed/>
    <w:qFormat/>
    <w:uiPriority w:val="99"/>
    <w:pPr>
      <w:autoSpaceDE w:val="0"/>
      <w:autoSpaceDN w:val="0"/>
      <w:ind w:firstLine="420" w:firstLineChars="200"/>
      <w:jc w:val="left"/>
    </w:pPr>
    <w:rPr>
      <w:rFonts w:ascii="宋体" w:hAnsi="宋体" w:cs="宋体"/>
      <w:sz w:val="22"/>
      <w:szCs w:val="22"/>
      <w:lang w:val="zh-CN" w:bidi="zh-CN"/>
    </w:rPr>
  </w:style>
  <w:style w:type="table" w:styleId="36">
    <w:name w:val="Table Grid"/>
    <w:basedOn w:val="35"/>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unhideWhenUsed/>
    <w:qFormat/>
    <w:uiPriority w:val="99"/>
    <w:rPr>
      <w:rFonts w:hint="default" w:ascii="Times New Roman" w:hAnsi="Times New Roman" w:cs="Times New Roman"/>
      <w:lang w:bidi="ar-SA"/>
    </w:rPr>
  </w:style>
  <w:style w:type="character" w:styleId="39">
    <w:name w:val="FollowedHyperlink"/>
    <w:unhideWhenUsed/>
    <w:qFormat/>
    <w:uiPriority w:val="99"/>
    <w:rPr>
      <w:color w:val="800080"/>
      <w:u w:val="single"/>
    </w:rPr>
  </w:style>
  <w:style w:type="character" w:styleId="40">
    <w:name w:val="Hyperlink"/>
    <w:unhideWhenUsed/>
    <w:qFormat/>
    <w:uiPriority w:val="99"/>
    <w:rPr>
      <w:rFonts w:hint="default" w:ascii="Times New Roman" w:hAnsi="Times New Roman" w:cs="Times New Roman"/>
      <w:color w:val="0000FF"/>
      <w:u w:val="single"/>
      <w:lang w:bidi="ar-SA"/>
    </w:rPr>
  </w:style>
  <w:style w:type="character" w:styleId="41">
    <w:name w:val="annotation reference"/>
    <w:unhideWhenUsed/>
    <w:qFormat/>
    <w:uiPriority w:val="99"/>
    <w:rPr>
      <w:rFonts w:hint="default" w:ascii="Times New Roman" w:hAnsi="Times New Roman" w:cs="Times New Roman"/>
      <w:sz w:val="21"/>
    </w:rPr>
  </w:style>
  <w:style w:type="character" w:styleId="42">
    <w:name w:val="footnote reference"/>
    <w:unhideWhenUsed/>
    <w:qFormat/>
    <w:uiPriority w:val="99"/>
    <w:rPr>
      <w:vertAlign w:val="superscript"/>
    </w:rPr>
  </w:style>
  <w:style w:type="character" w:customStyle="1" w:styleId="43">
    <w:name w:val="标题 1 字符"/>
    <w:basedOn w:val="37"/>
    <w:qFormat/>
    <w:uiPriority w:val="1"/>
    <w:rPr>
      <w:rFonts w:ascii="宋体" w:hAnsi="宋体" w:eastAsia="宋体" w:cs="宋体"/>
      <w:b/>
      <w:bCs/>
      <w:kern w:val="44"/>
      <w:sz w:val="44"/>
      <w:szCs w:val="44"/>
      <w:lang w:val="zh-CN" w:bidi="zh-CN"/>
    </w:rPr>
  </w:style>
  <w:style w:type="character" w:customStyle="1" w:styleId="44">
    <w:name w:val="标题 2 字符"/>
    <w:basedOn w:val="37"/>
    <w:qFormat/>
    <w:uiPriority w:val="0"/>
    <w:rPr>
      <w:rFonts w:asciiTheme="majorHAnsi" w:hAnsiTheme="majorHAnsi" w:eastAsiaTheme="majorEastAsia" w:cstheme="majorBidi"/>
      <w:b/>
      <w:bCs/>
      <w:kern w:val="0"/>
      <w:sz w:val="32"/>
      <w:szCs w:val="32"/>
      <w:lang w:val="zh-CN" w:bidi="zh-CN"/>
    </w:rPr>
  </w:style>
  <w:style w:type="character" w:customStyle="1" w:styleId="45">
    <w:name w:val="标题 3 字符"/>
    <w:basedOn w:val="37"/>
    <w:qFormat/>
    <w:uiPriority w:val="1"/>
    <w:rPr>
      <w:rFonts w:ascii="宋体" w:hAnsi="宋体" w:eastAsia="宋体" w:cs="宋体"/>
      <w:b/>
      <w:bCs/>
      <w:kern w:val="0"/>
      <w:sz w:val="32"/>
      <w:szCs w:val="32"/>
      <w:lang w:val="zh-CN" w:bidi="zh-CN"/>
    </w:rPr>
  </w:style>
  <w:style w:type="character" w:customStyle="1" w:styleId="46">
    <w:name w:val="标题 4 字符"/>
    <w:basedOn w:val="37"/>
    <w:qFormat/>
    <w:uiPriority w:val="9"/>
    <w:rPr>
      <w:rFonts w:asciiTheme="majorHAnsi" w:hAnsiTheme="majorHAnsi" w:eastAsiaTheme="majorEastAsia" w:cstheme="majorBidi"/>
      <w:b/>
      <w:bCs/>
      <w:kern w:val="0"/>
      <w:sz w:val="28"/>
      <w:szCs w:val="28"/>
      <w:lang w:val="zh-CN" w:bidi="zh-CN"/>
    </w:rPr>
  </w:style>
  <w:style w:type="character" w:customStyle="1" w:styleId="47">
    <w:name w:val="标题 5 字符"/>
    <w:basedOn w:val="37"/>
    <w:qFormat/>
    <w:uiPriority w:val="99"/>
    <w:rPr>
      <w:rFonts w:ascii="宋体" w:hAnsi="宋体" w:eastAsia="宋体" w:cs="宋体"/>
      <w:b/>
      <w:bCs/>
      <w:kern w:val="0"/>
      <w:sz w:val="28"/>
      <w:szCs w:val="28"/>
      <w:lang w:val="zh-CN" w:bidi="zh-CN"/>
    </w:rPr>
  </w:style>
  <w:style w:type="character" w:customStyle="1" w:styleId="48">
    <w:name w:val="标题 6 字符"/>
    <w:basedOn w:val="37"/>
    <w:qFormat/>
    <w:uiPriority w:val="99"/>
    <w:rPr>
      <w:rFonts w:asciiTheme="majorHAnsi" w:hAnsiTheme="majorHAnsi" w:eastAsiaTheme="majorEastAsia" w:cstheme="majorBidi"/>
      <w:b/>
      <w:bCs/>
      <w:kern w:val="0"/>
      <w:sz w:val="24"/>
      <w:szCs w:val="24"/>
      <w:lang w:val="zh-CN" w:bidi="zh-CN"/>
    </w:rPr>
  </w:style>
  <w:style w:type="character" w:customStyle="1" w:styleId="49">
    <w:name w:val="标题 7 字符"/>
    <w:basedOn w:val="37"/>
    <w:qFormat/>
    <w:uiPriority w:val="99"/>
    <w:rPr>
      <w:rFonts w:ascii="宋体" w:hAnsi="宋体" w:eastAsia="宋体" w:cs="宋体"/>
      <w:b/>
      <w:bCs/>
      <w:kern w:val="0"/>
      <w:sz w:val="24"/>
      <w:szCs w:val="24"/>
      <w:lang w:val="zh-CN" w:bidi="zh-CN"/>
    </w:rPr>
  </w:style>
  <w:style w:type="character" w:customStyle="1" w:styleId="50">
    <w:name w:val="标题 8 字符"/>
    <w:basedOn w:val="37"/>
    <w:qFormat/>
    <w:uiPriority w:val="99"/>
    <w:rPr>
      <w:rFonts w:asciiTheme="majorHAnsi" w:hAnsiTheme="majorHAnsi" w:eastAsiaTheme="majorEastAsia" w:cstheme="majorBidi"/>
      <w:kern w:val="0"/>
      <w:sz w:val="24"/>
      <w:szCs w:val="24"/>
      <w:lang w:val="zh-CN" w:bidi="zh-CN"/>
    </w:rPr>
  </w:style>
  <w:style w:type="character" w:customStyle="1" w:styleId="51">
    <w:name w:val="标题 9 字符"/>
    <w:basedOn w:val="37"/>
    <w:qFormat/>
    <w:uiPriority w:val="99"/>
    <w:rPr>
      <w:rFonts w:asciiTheme="majorHAnsi" w:hAnsiTheme="majorHAnsi" w:eastAsiaTheme="majorEastAsia" w:cstheme="majorBidi"/>
      <w:kern w:val="0"/>
      <w:szCs w:val="21"/>
      <w:lang w:val="zh-CN" w:bidi="zh-CN"/>
    </w:rPr>
  </w:style>
  <w:style w:type="paragraph" w:customStyle="1" w:styleId="52">
    <w:name w:val="msonormal"/>
    <w:basedOn w:val="1"/>
    <w:next w:val="1"/>
    <w:qFormat/>
    <w:uiPriority w:val="99"/>
    <w:pPr>
      <w:autoSpaceDE/>
      <w:autoSpaceDN/>
      <w:spacing w:before="100" w:beforeAutospacing="1" w:after="75"/>
    </w:pPr>
    <w:rPr>
      <w:rFonts w:ascii="Times New Roman" w:hAnsi="Times New Roman" w:cs="Times New Roman"/>
      <w:sz w:val="24"/>
      <w:szCs w:val="24"/>
      <w:lang w:val="en-US" w:bidi="ar-SA"/>
    </w:rPr>
  </w:style>
  <w:style w:type="character" w:customStyle="1" w:styleId="53">
    <w:name w:val="脚注文本 字符"/>
    <w:basedOn w:val="37"/>
    <w:semiHidden/>
    <w:qFormat/>
    <w:uiPriority w:val="99"/>
    <w:rPr>
      <w:rFonts w:ascii="宋体" w:hAnsi="宋体" w:eastAsia="宋体" w:cs="宋体"/>
      <w:kern w:val="0"/>
      <w:sz w:val="18"/>
      <w:szCs w:val="18"/>
      <w:lang w:val="zh-CN" w:bidi="zh-CN"/>
    </w:rPr>
  </w:style>
  <w:style w:type="character" w:customStyle="1" w:styleId="54">
    <w:name w:val="批注文字 字符"/>
    <w:basedOn w:val="37"/>
    <w:semiHidden/>
    <w:qFormat/>
    <w:uiPriority w:val="99"/>
    <w:rPr>
      <w:rFonts w:ascii="宋体" w:hAnsi="宋体" w:eastAsia="宋体" w:cs="宋体"/>
      <w:kern w:val="0"/>
      <w:sz w:val="22"/>
      <w:lang w:val="zh-CN" w:bidi="zh-CN"/>
    </w:rPr>
  </w:style>
  <w:style w:type="character" w:customStyle="1" w:styleId="55">
    <w:name w:val="页眉 字符"/>
    <w:basedOn w:val="37"/>
    <w:qFormat/>
    <w:uiPriority w:val="99"/>
    <w:rPr>
      <w:rFonts w:ascii="宋体" w:hAnsi="宋体" w:eastAsia="宋体" w:cs="宋体"/>
      <w:kern w:val="0"/>
      <w:sz w:val="18"/>
      <w:szCs w:val="18"/>
      <w:lang w:val="zh-CN" w:bidi="zh-CN"/>
    </w:rPr>
  </w:style>
  <w:style w:type="character" w:customStyle="1" w:styleId="56">
    <w:name w:val="页脚 字符"/>
    <w:basedOn w:val="37"/>
    <w:qFormat/>
    <w:uiPriority w:val="99"/>
    <w:rPr>
      <w:rFonts w:ascii="宋体" w:hAnsi="宋体" w:eastAsia="宋体" w:cs="宋体"/>
      <w:kern w:val="0"/>
      <w:sz w:val="18"/>
      <w:szCs w:val="18"/>
      <w:lang w:val="zh-CN" w:bidi="zh-CN"/>
    </w:rPr>
  </w:style>
  <w:style w:type="character" w:customStyle="1" w:styleId="57">
    <w:name w:val="标题 字符"/>
    <w:basedOn w:val="37"/>
    <w:link w:val="31"/>
    <w:qFormat/>
    <w:uiPriority w:val="99"/>
    <w:rPr>
      <w:rFonts w:ascii="Arial" w:hAnsi="Arial" w:eastAsia="宋体" w:cs="Times New Roman"/>
      <w:b/>
      <w:kern w:val="0"/>
      <w:sz w:val="20"/>
      <w:szCs w:val="20"/>
    </w:rPr>
  </w:style>
  <w:style w:type="character" w:customStyle="1" w:styleId="58">
    <w:name w:val="正文文本 字符"/>
    <w:basedOn w:val="37"/>
    <w:qFormat/>
    <w:uiPriority w:val="1"/>
    <w:rPr>
      <w:rFonts w:ascii="宋体" w:hAnsi="宋体" w:eastAsia="宋体" w:cs="宋体"/>
      <w:kern w:val="0"/>
      <w:sz w:val="22"/>
      <w:lang w:val="zh-CN" w:bidi="zh-CN"/>
    </w:rPr>
  </w:style>
  <w:style w:type="character" w:customStyle="1" w:styleId="59">
    <w:name w:val="正文文本缩进 字符"/>
    <w:basedOn w:val="37"/>
    <w:link w:val="17"/>
    <w:qFormat/>
    <w:uiPriority w:val="99"/>
    <w:rPr>
      <w:rFonts w:ascii="Times New Roman" w:hAnsi="Times New Roman" w:eastAsia="宋体" w:cs="Times New Roman"/>
      <w:kern w:val="0"/>
      <w:sz w:val="20"/>
      <w:szCs w:val="24"/>
    </w:rPr>
  </w:style>
  <w:style w:type="character" w:customStyle="1" w:styleId="60">
    <w:name w:val="日期 字符"/>
    <w:basedOn w:val="37"/>
    <w:link w:val="22"/>
    <w:qFormat/>
    <w:uiPriority w:val="99"/>
    <w:rPr>
      <w:rFonts w:ascii="Times New Roman" w:hAnsi="Times New Roman" w:eastAsia="宋体" w:cs="Times New Roman"/>
      <w:kern w:val="0"/>
      <w:sz w:val="24"/>
      <w:szCs w:val="21"/>
    </w:rPr>
  </w:style>
  <w:style w:type="character" w:customStyle="1" w:styleId="61">
    <w:name w:val="正文首行缩进 字符"/>
    <w:basedOn w:val="58"/>
    <w:link w:val="33"/>
    <w:qFormat/>
    <w:uiPriority w:val="99"/>
    <w:rPr>
      <w:rFonts w:ascii="Calibri" w:hAnsi="Calibri" w:eastAsia="宋体" w:cs="Times New Roman"/>
      <w:kern w:val="0"/>
      <w:sz w:val="20"/>
      <w:szCs w:val="24"/>
      <w:lang w:val="zh-CN" w:bidi="zh-CN"/>
    </w:rPr>
  </w:style>
  <w:style w:type="character" w:customStyle="1" w:styleId="62">
    <w:name w:val="正文文本 3 字符"/>
    <w:basedOn w:val="37"/>
    <w:link w:val="15"/>
    <w:qFormat/>
    <w:uiPriority w:val="99"/>
    <w:rPr>
      <w:rFonts w:ascii="Times New Roman" w:hAnsi="Times New Roman" w:eastAsia="宋体" w:cs="Times New Roman"/>
      <w:kern w:val="0"/>
      <w:sz w:val="16"/>
      <w:szCs w:val="16"/>
    </w:rPr>
  </w:style>
  <w:style w:type="character" w:customStyle="1" w:styleId="63">
    <w:name w:val="正文文本缩进 3 字符"/>
    <w:basedOn w:val="37"/>
    <w:link w:val="29"/>
    <w:qFormat/>
    <w:uiPriority w:val="99"/>
    <w:rPr>
      <w:rFonts w:ascii="Times New Roman" w:hAnsi="Times New Roman" w:eastAsia="宋体" w:cs="Times New Roman"/>
      <w:kern w:val="0"/>
      <w:sz w:val="16"/>
      <w:szCs w:val="16"/>
    </w:rPr>
  </w:style>
  <w:style w:type="character" w:customStyle="1" w:styleId="64">
    <w:name w:val="文档结构图 字符"/>
    <w:basedOn w:val="37"/>
    <w:link w:val="13"/>
    <w:qFormat/>
    <w:uiPriority w:val="99"/>
    <w:rPr>
      <w:rFonts w:ascii="Calibri" w:hAnsi="Calibri" w:eastAsia="宋体" w:cs="Times New Roman"/>
      <w:kern w:val="0"/>
      <w:sz w:val="20"/>
      <w:szCs w:val="24"/>
      <w:shd w:val="clear" w:color="auto" w:fill="000080"/>
    </w:rPr>
  </w:style>
  <w:style w:type="character" w:customStyle="1" w:styleId="65">
    <w:name w:val="纯文本 字符"/>
    <w:basedOn w:val="37"/>
    <w:qFormat/>
    <w:uiPriority w:val="0"/>
    <w:rPr>
      <w:rFonts w:hAnsi="Courier New" w:cs="Courier New" w:asciiTheme="minorEastAsia"/>
      <w:kern w:val="0"/>
      <w:sz w:val="22"/>
      <w:lang w:val="zh-CN" w:bidi="zh-CN"/>
    </w:rPr>
  </w:style>
  <w:style w:type="character" w:customStyle="1" w:styleId="66">
    <w:name w:val="批注主题 字符"/>
    <w:basedOn w:val="54"/>
    <w:link w:val="32"/>
    <w:qFormat/>
    <w:uiPriority w:val="99"/>
    <w:rPr>
      <w:rFonts w:ascii="Calibri" w:hAnsi="Calibri" w:eastAsia="宋体" w:cs="Times New Roman"/>
      <w:b/>
      <w:bCs/>
      <w:kern w:val="0"/>
      <w:sz w:val="20"/>
      <w:szCs w:val="24"/>
      <w:lang w:val="zh-CN" w:bidi="zh-CN"/>
    </w:rPr>
  </w:style>
  <w:style w:type="character" w:customStyle="1" w:styleId="67">
    <w:name w:val="批注框文本 字符"/>
    <w:basedOn w:val="37"/>
    <w:qFormat/>
    <w:uiPriority w:val="99"/>
    <w:rPr>
      <w:rFonts w:ascii="宋体" w:hAnsi="宋体" w:eastAsia="宋体" w:cs="宋体"/>
      <w:kern w:val="0"/>
      <w:sz w:val="18"/>
      <w:szCs w:val="18"/>
      <w:lang w:val="zh-CN" w:bidi="zh-CN"/>
    </w:rPr>
  </w:style>
  <w:style w:type="paragraph" w:styleId="68">
    <w:name w:val="List Paragraph"/>
    <w:basedOn w:val="1"/>
    <w:next w:val="1"/>
    <w:qFormat/>
    <w:uiPriority w:val="1"/>
    <w:pPr>
      <w:ind w:left="220" w:firstLine="434"/>
    </w:pPr>
  </w:style>
  <w:style w:type="paragraph" w:customStyle="1" w:styleId="69">
    <w:name w:val="Table Paragraph"/>
    <w:basedOn w:val="1"/>
    <w:qFormat/>
    <w:uiPriority w:val="1"/>
  </w:style>
  <w:style w:type="paragraph" w:customStyle="1" w:styleId="70">
    <w:name w:val="样式 标题 2 + Times New Roman 四号 非加粗 段前: 5 磅 段后: 0 磅 行距: 固定值 20..."/>
    <w:basedOn w:val="4"/>
    <w:next w:val="1"/>
    <w:qFormat/>
    <w:uiPriority w:val="99"/>
    <w:pPr>
      <w:keepNext/>
      <w:keepLines/>
      <w:autoSpaceDE/>
      <w:autoSpaceDN/>
      <w:spacing w:before="100" w:line="400" w:lineRule="exact"/>
      <w:ind w:left="0" w:right="0"/>
      <w:jc w:val="both"/>
    </w:pPr>
    <w:rPr>
      <w:rFonts w:ascii="Times New Roman" w:hAnsi="Times New Roman" w:eastAsia="黑体" w:cs="Times New Roman"/>
      <w:i w:val="0"/>
      <w:sz w:val="28"/>
      <w:szCs w:val="28"/>
      <w:lang w:bidi="ar-SA"/>
    </w:rPr>
  </w:style>
  <w:style w:type="paragraph" w:customStyle="1" w:styleId="71">
    <w:name w:val="样式 标题 3 + (中文) 黑体 小四 非加粗 段前: 7.8 磅 段后: 0 磅 行距: 固定值 20 磅"/>
    <w:basedOn w:val="5"/>
    <w:next w:val="1"/>
    <w:qFormat/>
    <w:uiPriority w:val="99"/>
    <w:pPr>
      <w:spacing w:before="0" w:after="0" w:line="400" w:lineRule="exact"/>
    </w:pPr>
    <w:rPr>
      <w:rFonts w:eastAsia="黑体"/>
      <w:b w:val="0"/>
      <w:bCs w:val="0"/>
      <w:sz w:val="24"/>
      <w:szCs w:val="24"/>
    </w:rPr>
  </w:style>
  <w:style w:type="paragraph" w:customStyle="1" w:styleId="72">
    <w:name w:val="Salutation1"/>
    <w:basedOn w:val="1"/>
    <w:next w:val="1"/>
    <w:qFormat/>
    <w:uiPriority w:val="99"/>
    <w:pPr>
      <w:autoSpaceDE/>
      <w:autoSpaceDN/>
      <w:jc w:val="both"/>
    </w:pPr>
    <w:rPr>
      <w:rFonts w:ascii="仿宋_GB2312" w:hAnsi="Times New Roman" w:eastAsia="仿宋_GB2312" w:cs="仿宋_GB2312"/>
      <w:kern w:val="2"/>
      <w:sz w:val="20"/>
      <w:szCs w:val="20"/>
      <w:lang w:val="en-US" w:bidi="ar-SA"/>
    </w:rPr>
  </w:style>
  <w:style w:type="paragraph" w:customStyle="1" w:styleId="73">
    <w:name w:val="p15"/>
    <w:basedOn w:val="1"/>
    <w:next w:val="14"/>
    <w:qFormat/>
    <w:uiPriority w:val="99"/>
    <w:pPr>
      <w:widowControl/>
      <w:autoSpaceDE/>
      <w:autoSpaceDN/>
      <w:jc w:val="both"/>
    </w:pPr>
    <w:rPr>
      <w:rFonts w:ascii="Times New Roman" w:hAnsi="Times New Roman" w:cs="Times New Roman"/>
      <w:sz w:val="21"/>
      <w:szCs w:val="21"/>
      <w:lang w:val="en-US" w:bidi="ar-SA"/>
    </w:rPr>
  </w:style>
  <w:style w:type="paragraph" w:customStyle="1" w:styleId="74">
    <w:name w:val="纯文本1"/>
    <w:basedOn w:val="1"/>
    <w:next w:val="1"/>
    <w:qFormat/>
    <w:uiPriority w:val="99"/>
    <w:pPr>
      <w:autoSpaceDE/>
      <w:autoSpaceDN/>
      <w:jc w:val="both"/>
    </w:pPr>
    <w:rPr>
      <w:rFonts w:ascii="Courier New" w:hAnsi="Courier New" w:cs="Courier New"/>
      <w:kern w:val="2"/>
      <w:sz w:val="20"/>
      <w:szCs w:val="20"/>
      <w:lang w:val="en-US" w:bidi="ar-SA"/>
    </w:rPr>
  </w:style>
  <w:style w:type="paragraph" w:customStyle="1" w:styleId="75">
    <w:name w:val="p0"/>
    <w:basedOn w:val="1"/>
    <w:next w:val="21"/>
    <w:qFormat/>
    <w:uiPriority w:val="99"/>
    <w:pPr>
      <w:widowControl/>
      <w:autoSpaceDE/>
      <w:autoSpaceDN/>
      <w:jc w:val="both"/>
    </w:pPr>
    <w:rPr>
      <w:rFonts w:ascii="Times New Roman" w:hAnsi="Times New Roman" w:cs="Times New Roman"/>
      <w:sz w:val="21"/>
      <w:szCs w:val="21"/>
      <w:lang w:val="en-US" w:bidi="ar-SA"/>
    </w:rPr>
  </w:style>
  <w:style w:type="paragraph" w:customStyle="1" w:styleId="76">
    <w:name w:val="表格文字"/>
    <w:basedOn w:val="1"/>
    <w:next w:val="1"/>
    <w:qFormat/>
    <w:uiPriority w:val="99"/>
    <w:pPr>
      <w:autoSpaceDE/>
      <w:autoSpaceDN/>
      <w:adjustRightInd w:val="0"/>
      <w:spacing w:line="420" w:lineRule="atLeast"/>
    </w:pPr>
    <w:rPr>
      <w:rFonts w:ascii="Times New Roman" w:hAnsi="Times New Roman" w:cs="Times New Roman"/>
      <w:sz w:val="21"/>
      <w:szCs w:val="20"/>
      <w:lang w:val="en-US" w:bidi="ar-SA"/>
    </w:rPr>
  </w:style>
  <w:style w:type="character" w:customStyle="1" w:styleId="77">
    <w:name w:val="页眉 字符1"/>
    <w:link w:val="25"/>
    <w:semiHidden/>
    <w:qFormat/>
    <w:locked/>
    <w:uiPriority w:val="99"/>
    <w:rPr>
      <w:rFonts w:ascii="宋体" w:hAnsi="宋体" w:eastAsia="宋体" w:cs="宋体"/>
      <w:kern w:val="0"/>
      <w:sz w:val="18"/>
      <w:szCs w:val="18"/>
      <w:lang w:val="zh-CN" w:bidi="zh-CN"/>
    </w:rPr>
  </w:style>
  <w:style w:type="character" w:customStyle="1" w:styleId="78">
    <w:name w:val="页脚 字符1"/>
    <w:link w:val="24"/>
    <w:semiHidden/>
    <w:qFormat/>
    <w:locked/>
    <w:uiPriority w:val="99"/>
    <w:rPr>
      <w:rFonts w:ascii="宋体" w:hAnsi="宋体" w:eastAsia="宋体" w:cs="宋体"/>
      <w:kern w:val="0"/>
      <w:sz w:val="18"/>
      <w:szCs w:val="18"/>
      <w:lang w:val="zh-CN" w:bidi="zh-CN"/>
    </w:rPr>
  </w:style>
  <w:style w:type="character" w:customStyle="1" w:styleId="79">
    <w:name w:val="style3"/>
    <w:qFormat/>
    <w:uiPriority w:val="0"/>
  </w:style>
  <w:style w:type="character" w:customStyle="1" w:styleId="80">
    <w:name w:val="批注框文本 字符1"/>
    <w:link w:val="23"/>
    <w:semiHidden/>
    <w:qFormat/>
    <w:locked/>
    <w:uiPriority w:val="99"/>
    <w:rPr>
      <w:rFonts w:ascii="宋体" w:hAnsi="宋体" w:eastAsia="宋体" w:cs="宋体"/>
      <w:kern w:val="0"/>
      <w:sz w:val="18"/>
      <w:szCs w:val="18"/>
      <w:lang w:val="zh-CN" w:bidi="zh-CN"/>
    </w:rPr>
  </w:style>
  <w:style w:type="character" w:customStyle="1" w:styleId="81">
    <w:name w:val="标题 1 字符1"/>
    <w:link w:val="3"/>
    <w:qFormat/>
    <w:locked/>
    <w:uiPriority w:val="1"/>
    <w:rPr>
      <w:rFonts w:ascii="宋体" w:hAnsi="宋体" w:eastAsia="宋体" w:cs="宋体"/>
      <w:b/>
      <w:bCs/>
      <w:kern w:val="0"/>
      <w:sz w:val="28"/>
      <w:szCs w:val="28"/>
      <w:lang w:val="zh-CN" w:bidi="zh-CN"/>
    </w:rPr>
  </w:style>
  <w:style w:type="character" w:customStyle="1" w:styleId="82">
    <w:name w:val="标题 2 字符1"/>
    <w:link w:val="4"/>
    <w:semiHidden/>
    <w:qFormat/>
    <w:locked/>
    <w:uiPriority w:val="1"/>
    <w:rPr>
      <w:rFonts w:ascii="宋体" w:hAnsi="宋体" w:eastAsia="宋体" w:cs="宋体"/>
      <w:i/>
      <w:kern w:val="0"/>
      <w:sz w:val="25"/>
      <w:szCs w:val="25"/>
      <w:lang w:val="zh-CN" w:bidi="zh-CN"/>
    </w:rPr>
  </w:style>
  <w:style w:type="character" w:customStyle="1" w:styleId="83">
    <w:name w:val="纯文本 字符1"/>
    <w:link w:val="20"/>
    <w:semiHidden/>
    <w:qFormat/>
    <w:locked/>
    <w:uiPriority w:val="99"/>
    <w:rPr>
      <w:rFonts w:ascii="宋体" w:hAnsi="Courier New" w:eastAsia="宋体" w:cs="Times New Roman"/>
    </w:rPr>
  </w:style>
  <w:style w:type="character" w:customStyle="1" w:styleId="84">
    <w:name w:val="正文文本 字符1"/>
    <w:link w:val="16"/>
    <w:semiHidden/>
    <w:qFormat/>
    <w:locked/>
    <w:uiPriority w:val="1"/>
    <w:rPr>
      <w:rFonts w:ascii="宋体" w:hAnsi="宋体" w:eastAsia="宋体" w:cs="宋体"/>
      <w:kern w:val="0"/>
      <w:sz w:val="24"/>
      <w:szCs w:val="24"/>
      <w:lang w:val="zh-CN" w:bidi="zh-CN"/>
    </w:rPr>
  </w:style>
  <w:style w:type="character" w:customStyle="1" w:styleId="85">
    <w:name w:val="标题 4 字符1"/>
    <w:link w:val="6"/>
    <w:semiHidden/>
    <w:qFormat/>
    <w:locked/>
    <w:uiPriority w:val="9"/>
    <w:rPr>
      <w:rFonts w:ascii="Cambria" w:hAnsi="Cambria" w:eastAsia="宋体" w:cs="宋体"/>
      <w:b/>
      <w:bCs/>
      <w:kern w:val="0"/>
      <w:sz w:val="28"/>
      <w:szCs w:val="28"/>
      <w:lang w:val="zh-CN" w:bidi="zh-CN"/>
    </w:rPr>
  </w:style>
  <w:style w:type="character" w:customStyle="1" w:styleId="86">
    <w:name w:val="标题 3 字符1"/>
    <w:link w:val="5"/>
    <w:semiHidden/>
    <w:qFormat/>
    <w:locked/>
    <w:uiPriority w:val="1"/>
    <w:rPr>
      <w:rFonts w:ascii="Times New Roman" w:hAnsi="Times New Roman" w:eastAsia="宋体" w:cs="Times New Roman"/>
      <w:b/>
      <w:bCs/>
      <w:kern w:val="0"/>
      <w:sz w:val="32"/>
      <w:szCs w:val="32"/>
      <w:lang w:val="zh-CN"/>
    </w:rPr>
  </w:style>
  <w:style w:type="character" w:customStyle="1" w:styleId="87">
    <w:name w:val="标题 5 字符1"/>
    <w:link w:val="7"/>
    <w:semiHidden/>
    <w:qFormat/>
    <w:locked/>
    <w:uiPriority w:val="99"/>
    <w:rPr>
      <w:rFonts w:ascii="Calibri" w:hAnsi="Calibri" w:eastAsia="宋体" w:cs="Times New Roman"/>
      <w:b/>
      <w:bCs/>
      <w:kern w:val="0"/>
      <w:sz w:val="28"/>
      <w:szCs w:val="28"/>
      <w:lang w:val="zh-CN"/>
    </w:rPr>
  </w:style>
  <w:style w:type="character" w:customStyle="1" w:styleId="88">
    <w:name w:val="标题 6 字符1"/>
    <w:link w:val="8"/>
    <w:semiHidden/>
    <w:qFormat/>
    <w:locked/>
    <w:uiPriority w:val="99"/>
    <w:rPr>
      <w:rFonts w:ascii="Arial" w:hAnsi="Arial" w:eastAsia="黑体" w:cs="Times New Roman"/>
      <w:b/>
      <w:bCs/>
      <w:kern w:val="0"/>
      <w:sz w:val="24"/>
      <w:szCs w:val="24"/>
      <w:lang w:val="zh-CN"/>
    </w:rPr>
  </w:style>
  <w:style w:type="character" w:customStyle="1" w:styleId="89">
    <w:name w:val="标题 7 字符1"/>
    <w:link w:val="9"/>
    <w:semiHidden/>
    <w:qFormat/>
    <w:locked/>
    <w:uiPriority w:val="99"/>
    <w:rPr>
      <w:rFonts w:ascii="Times New Roman" w:hAnsi="Times New Roman" w:eastAsia="宋体" w:cs="Times New Roman"/>
      <w:b/>
      <w:bCs/>
      <w:kern w:val="0"/>
      <w:sz w:val="24"/>
      <w:szCs w:val="24"/>
      <w:lang w:val="zh-CN"/>
    </w:rPr>
  </w:style>
  <w:style w:type="character" w:customStyle="1" w:styleId="90">
    <w:name w:val="标题 8 字符1"/>
    <w:link w:val="10"/>
    <w:semiHidden/>
    <w:qFormat/>
    <w:locked/>
    <w:uiPriority w:val="99"/>
    <w:rPr>
      <w:rFonts w:ascii="Arial" w:hAnsi="Arial" w:eastAsia="黑体" w:cs="Times New Roman"/>
      <w:kern w:val="0"/>
      <w:sz w:val="24"/>
      <w:szCs w:val="24"/>
      <w:lang w:val="zh-CN"/>
    </w:rPr>
  </w:style>
  <w:style w:type="character" w:customStyle="1" w:styleId="91">
    <w:name w:val="标题 9 字符1"/>
    <w:link w:val="11"/>
    <w:semiHidden/>
    <w:qFormat/>
    <w:locked/>
    <w:uiPriority w:val="99"/>
    <w:rPr>
      <w:rFonts w:ascii="Arial" w:hAnsi="Arial" w:eastAsia="黑体" w:cs="Times New Roman"/>
      <w:kern w:val="0"/>
      <w:sz w:val="20"/>
      <w:szCs w:val="21"/>
      <w:lang w:val="zh-CN"/>
    </w:rPr>
  </w:style>
  <w:style w:type="character" w:customStyle="1" w:styleId="92">
    <w:name w:val="正文文本缩进 3 Char"/>
    <w:qFormat/>
    <w:locked/>
    <w:uiPriority w:val="99"/>
    <w:rPr>
      <w:rFonts w:hint="default" w:ascii="Times New Roman" w:hAnsi="Times New Roman" w:cs="Times New Roman"/>
      <w:sz w:val="16"/>
      <w:szCs w:val="16"/>
    </w:rPr>
  </w:style>
  <w:style w:type="character" w:customStyle="1" w:styleId="93">
    <w:name w:val="正文首行缩进 Char1"/>
    <w:qFormat/>
    <w:locked/>
    <w:uiPriority w:val="99"/>
    <w:rPr>
      <w:szCs w:val="24"/>
    </w:rPr>
  </w:style>
  <w:style w:type="character" w:customStyle="1" w:styleId="94">
    <w:name w:val="批注主题 Char"/>
    <w:qFormat/>
    <w:uiPriority w:val="99"/>
    <w:rPr>
      <w:rFonts w:hint="default" w:ascii="Times New Roman" w:hAnsi="Times New Roman" w:eastAsia="宋体" w:cs="Times New Roman"/>
      <w:b/>
      <w:bCs/>
      <w:szCs w:val="21"/>
    </w:rPr>
  </w:style>
  <w:style w:type="character" w:customStyle="1" w:styleId="95">
    <w:name w:val="文档结构图 Char1"/>
    <w:qFormat/>
    <w:locked/>
    <w:uiPriority w:val="99"/>
    <w:rPr>
      <w:szCs w:val="24"/>
      <w:shd w:val="clear" w:color="auto" w:fill="000080"/>
    </w:rPr>
  </w:style>
  <w:style w:type="character" w:customStyle="1" w:styleId="96">
    <w:name w:val="正文文本 3 Char"/>
    <w:qFormat/>
    <w:locked/>
    <w:uiPriority w:val="99"/>
    <w:rPr>
      <w:rFonts w:hint="default" w:ascii="Times New Roman" w:hAnsi="Times New Roman" w:cs="Times New Roman"/>
      <w:sz w:val="16"/>
      <w:szCs w:val="16"/>
    </w:rPr>
  </w:style>
  <w:style w:type="character" w:customStyle="1" w:styleId="97">
    <w:name w:val="批注文字 Char"/>
    <w:qFormat/>
    <w:uiPriority w:val="99"/>
    <w:rPr>
      <w:rFonts w:hint="default" w:ascii="Times New Roman" w:hAnsi="Times New Roman" w:eastAsia="宋体" w:cs="Times New Roman"/>
      <w:szCs w:val="21"/>
    </w:rPr>
  </w:style>
  <w:style w:type="character" w:customStyle="1" w:styleId="98">
    <w:name w:val="批注主题 Char1"/>
    <w:qFormat/>
    <w:locked/>
    <w:uiPriority w:val="99"/>
    <w:rPr>
      <w:b/>
      <w:bCs/>
      <w:szCs w:val="24"/>
    </w:rPr>
  </w:style>
  <w:style w:type="character" w:customStyle="1" w:styleId="99">
    <w:name w:val="正文文本缩进 Char"/>
    <w:qFormat/>
    <w:locked/>
    <w:uiPriority w:val="99"/>
    <w:rPr>
      <w:rFonts w:hint="default" w:ascii="Times New Roman" w:hAnsi="Times New Roman" w:cs="Times New Roman"/>
      <w:szCs w:val="24"/>
    </w:rPr>
  </w:style>
  <w:style w:type="character" w:customStyle="1" w:styleId="100">
    <w:name w:val="文档结构图 Char"/>
    <w:qFormat/>
    <w:uiPriority w:val="99"/>
    <w:rPr>
      <w:rFonts w:hint="eastAsia" w:ascii="宋体" w:hAnsi="Times New Roman" w:eastAsia="宋体" w:cs="Times New Roman"/>
      <w:sz w:val="18"/>
      <w:szCs w:val="18"/>
    </w:rPr>
  </w:style>
  <w:style w:type="character" w:customStyle="1" w:styleId="101">
    <w:name w:val="正文首行缩进 Char"/>
    <w:qFormat/>
    <w:uiPriority w:val="99"/>
    <w:rPr>
      <w:rFonts w:hint="default" w:ascii="Times New Roman" w:hAnsi="Times New Roman" w:eastAsia="宋体" w:cs="Times New Roman"/>
      <w:kern w:val="0"/>
      <w:sz w:val="24"/>
      <w:szCs w:val="21"/>
      <w:lang w:val="zh-CN" w:bidi="zh-CN"/>
    </w:rPr>
  </w:style>
  <w:style w:type="character" w:customStyle="1" w:styleId="102">
    <w:name w:val="批注文字 Char1"/>
    <w:semiHidden/>
    <w:qFormat/>
    <w:locked/>
    <w:uiPriority w:val="99"/>
    <w:rPr>
      <w:rFonts w:hint="default" w:ascii="Times New Roman" w:hAnsi="Times New Roman" w:eastAsia="宋体" w:cs="Times New Roman"/>
      <w:kern w:val="2"/>
      <w:sz w:val="21"/>
      <w:szCs w:val="21"/>
    </w:rPr>
  </w:style>
  <w:style w:type="character" w:customStyle="1" w:styleId="103">
    <w:name w:val="标题 Char"/>
    <w:qFormat/>
    <w:locked/>
    <w:uiPriority w:val="99"/>
    <w:rPr>
      <w:rFonts w:hint="default" w:ascii="Arial" w:hAnsi="Arial" w:cs="Arial"/>
      <w:b/>
    </w:rPr>
  </w:style>
  <w:style w:type="character" w:customStyle="1" w:styleId="104">
    <w:name w:val="日期 Char"/>
    <w:qFormat/>
    <w:locked/>
    <w:uiPriority w:val="99"/>
    <w:rPr>
      <w:rFonts w:hint="default" w:ascii="Times New Roman" w:hAnsi="Times New Roman" w:cs="Times New Roman"/>
      <w:sz w:val="24"/>
      <w:szCs w:val="21"/>
    </w:rPr>
  </w:style>
  <w:style w:type="character" w:customStyle="1" w:styleId="105">
    <w:name w:val="正文文本 3 Char1"/>
    <w:semiHidden/>
    <w:qFormat/>
    <w:uiPriority w:val="99"/>
    <w:rPr>
      <w:rFonts w:hint="eastAsia" w:ascii="宋体" w:hAnsi="宋体" w:eastAsia="宋体" w:cs="宋体"/>
      <w:kern w:val="0"/>
      <w:sz w:val="16"/>
      <w:szCs w:val="16"/>
      <w:lang w:val="zh-CN" w:bidi="zh-CN"/>
    </w:rPr>
  </w:style>
  <w:style w:type="character" w:customStyle="1" w:styleId="106">
    <w:name w:val="批注文字 字符1"/>
    <w:link w:val="14"/>
    <w:semiHidden/>
    <w:qFormat/>
    <w:locked/>
    <w:uiPriority w:val="99"/>
    <w:rPr>
      <w:rFonts w:ascii="宋体" w:hAnsi="宋体" w:eastAsia="宋体" w:cs="宋体"/>
      <w:kern w:val="0"/>
      <w:sz w:val="22"/>
      <w:lang w:val="zh-CN" w:bidi="zh-CN"/>
    </w:rPr>
  </w:style>
  <w:style w:type="character" w:customStyle="1" w:styleId="107">
    <w:name w:val="批注主题 Char2"/>
    <w:semiHidden/>
    <w:qFormat/>
    <w:uiPriority w:val="99"/>
    <w:rPr>
      <w:rFonts w:hint="eastAsia" w:ascii="宋体" w:hAnsi="宋体" w:eastAsia="宋体" w:cs="宋体"/>
      <w:b/>
      <w:bCs/>
      <w:kern w:val="0"/>
      <w:sz w:val="22"/>
      <w:lang w:val="zh-CN" w:bidi="zh-CN"/>
    </w:rPr>
  </w:style>
  <w:style w:type="character" w:customStyle="1" w:styleId="108">
    <w:name w:val="正文文本缩进 3 Char1"/>
    <w:semiHidden/>
    <w:qFormat/>
    <w:uiPriority w:val="99"/>
    <w:rPr>
      <w:rFonts w:hint="eastAsia" w:ascii="宋体" w:hAnsi="宋体" w:eastAsia="宋体" w:cs="宋体"/>
      <w:kern w:val="0"/>
      <w:sz w:val="16"/>
      <w:szCs w:val="16"/>
      <w:lang w:val="zh-CN" w:bidi="zh-CN"/>
    </w:rPr>
  </w:style>
  <w:style w:type="character" w:customStyle="1" w:styleId="109">
    <w:name w:val="标题 Char1"/>
    <w:qFormat/>
    <w:uiPriority w:val="10"/>
    <w:rPr>
      <w:rFonts w:hint="default" w:ascii="Cambria" w:hAnsi="Cambria" w:eastAsia="宋体" w:cs="Times New Roman"/>
      <w:b/>
      <w:bCs/>
      <w:kern w:val="0"/>
      <w:sz w:val="32"/>
      <w:szCs w:val="32"/>
      <w:lang w:val="zh-CN" w:bidi="zh-CN"/>
    </w:rPr>
  </w:style>
  <w:style w:type="character" w:customStyle="1" w:styleId="110">
    <w:name w:val="正文文本缩进 Char1"/>
    <w:semiHidden/>
    <w:qFormat/>
    <w:uiPriority w:val="99"/>
    <w:rPr>
      <w:rFonts w:hint="eastAsia" w:ascii="宋体" w:hAnsi="宋体" w:eastAsia="宋体" w:cs="宋体"/>
      <w:kern w:val="0"/>
      <w:sz w:val="22"/>
      <w:lang w:val="zh-CN" w:bidi="zh-CN"/>
    </w:rPr>
  </w:style>
  <w:style w:type="character" w:customStyle="1" w:styleId="111">
    <w:name w:val="正文首行缩进 Char2"/>
    <w:semiHidden/>
    <w:qFormat/>
    <w:uiPriority w:val="99"/>
    <w:rPr>
      <w:rFonts w:hint="eastAsia" w:ascii="宋体" w:hAnsi="宋体" w:eastAsia="宋体" w:cs="宋体"/>
      <w:kern w:val="0"/>
      <w:sz w:val="22"/>
      <w:szCs w:val="24"/>
      <w:lang w:val="zh-CN" w:bidi="zh-CN"/>
    </w:rPr>
  </w:style>
  <w:style w:type="character" w:customStyle="1" w:styleId="112">
    <w:name w:val="日期 Char1"/>
    <w:semiHidden/>
    <w:qFormat/>
    <w:uiPriority w:val="99"/>
    <w:rPr>
      <w:rFonts w:hint="eastAsia" w:ascii="宋体" w:hAnsi="宋体" w:eastAsia="宋体" w:cs="宋体"/>
      <w:kern w:val="0"/>
      <w:sz w:val="22"/>
      <w:lang w:val="zh-CN" w:bidi="zh-CN"/>
    </w:rPr>
  </w:style>
  <w:style w:type="character" w:customStyle="1" w:styleId="113">
    <w:name w:val="文档结构图 Char2"/>
    <w:semiHidden/>
    <w:qFormat/>
    <w:uiPriority w:val="99"/>
    <w:rPr>
      <w:rFonts w:hint="eastAsia" w:ascii="宋体" w:hAnsi="宋体" w:eastAsia="宋体" w:cs="宋体"/>
      <w:kern w:val="0"/>
      <w:sz w:val="18"/>
      <w:szCs w:val="18"/>
      <w:lang w:val="zh-CN" w:bidi="zh-CN"/>
    </w:rPr>
  </w:style>
  <w:style w:type="character" w:customStyle="1" w:styleId="114">
    <w:name w:val="脚注文本 字符1"/>
    <w:link w:val="28"/>
    <w:semiHidden/>
    <w:qFormat/>
    <w:locked/>
    <w:uiPriority w:val="99"/>
    <w:rPr>
      <w:rFonts w:ascii="宋体" w:hAnsi="宋体" w:eastAsia="宋体" w:cs="宋体"/>
      <w:kern w:val="0"/>
      <w:sz w:val="18"/>
      <w:szCs w:val="18"/>
      <w:lang w:val="zh-CN" w:bidi="zh-CN"/>
    </w:rPr>
  </w:style>
  <w:style w:type="table" w:customStyle="1" w:styleId="115">
    <w:name w:val="Table Normal"/>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paragraph" w:customStyle="1" w:styleId="116">
    <w:name w:val="_Style 40"/>
    <w:qFormat/>
    <w:uiPriority w:val="99"/>
    <w:pPr>
      <w:widowControl w:val="0"/>
      <w:autoSpaceDE w:val="0"/>
      <w:autoSpaceDN w:val="0"/>
    </w:pPr>
    <w:rPr>
      <w:rFonts w:ascii="宋体" w:hAnsi="宋体" w:eastAsia="宋体" w:cs="宋体"/>
      <w:sz w:val="22"/>
      <w:szCs w:val="22"/>
      <w:lang w:val="zh-CN" w:eastAsia="zh-CN" w:bidi="zh-CN"/>
    </w:rPr>
  </w:style>
  <w:style w:type="character" w:customStyle="1" w:styleId="117">
    <w:name w:val="页眉 Char"/>
    <w:qFormat/>
    <w:uiPriority w:val="99"/>
    <w:rPr>
      <w:sz w:val="18"/>
      <w:szCs w:val="18"/>
    </w:rPr>
  </w:style>
  <w:style w:type="character" w:customStyle="1" w:styleId="118">
    <w:name w:val="页脚 Char"/>
    <w:qFormat/>
    <w:uiPriority w:val="99"/>
    <w:rPr>
      <w:sz w:val="18"/>
      <w:szCs w:val="18"/>
    </w:rPr>
  </w:style>
  <w:style w:type="character" w:customStyle="1" w:styleId="119">
    <w:name w:val="批注框文本 Char"/>
    <w:qFormat/>
    <w:uiPriority w:val="99"/>
    <w:rPr>
      <w:rFonts w:ascii="宋体" w:hAnsi="宋体" w:eastAsia="宋体" w:cs="宋体"/>
      <w:kern w:val="0"/>
      <w:sz w:val="18"/>
      <w:szCs w:val="18"/>
      <w:lang w:val="zh-CN" w:bidi="zh-CN"/>
    </w:rPr>
  </w:style>
  <w:style w:type="character" w:customStyle="1" w:styleId="120">
    <w:name w:val="标题 1 Char"/>
    <w:qFormat/>
    <w:uiPriority w:val="1"/>
    <w:rPr>
      <w:rFonts w:ascii="宋体" w:hAnsi="宋体" w:eastAsia="宋体" w:cs="宋体"/>
      <w:b/>
      <w:bCs/>
      <w:kern w:val="0"/>
      <w:sz w:val="28"/>
      <w:szCs w:val="28"/>
      <w:lang w:val="zh-CN" w:bidi="zh-CN"/>
    </w:rPr>
  </w:style>
  <w:style w:type="character" w:customStyle="1" w:styleId="121">
    <w:name w:val="标题 2 Char"/>
    <w:qFormat/>
    <w:uiPriority w:val="0"/>
    <w:rPr>
      <w:rFonts w:ascii="宋体" w:hAnsi="宋体" w:eastAsia="宋体" w:cs="宋体"/>
      <w:i/>
      <w:kern w:val="0"/>
      <w:sz w:val="25"/>
      <w:szCs w:val="25"/>
      <w:lang w:val="zh-CN" w:bidi="zh-CN"/>
    </w:rPr>
  </w:style>
  <w:style w:type="character" w:customStyle="1" w:styleId="122">
    <w:name w:val="纯文本 Char"/>
    <w:qFormat/>
    <w:uiPriority w:val="0"/>
    <w:rPr>
      <w:rFonts w:ascii="宋体" w:hAnsi="Courier New"/>
    </w:rPr>
  </w:style>
  <w:style w:type="character" w:customStyle="1" w:styleId="123">
    <w:name w:val="正文文本 Char"/>
    <w:qFormat/>
    <w:uiPriority w:val="1"/>
    <w:rPr>
      <w:rFonts w:ascii="宋体" w:hAnsi="宋体" w:eastAsia="宋体" w:cs="宋体"/>
      <w:kern w:val="0"/>
      <w:sz w:val="24"/>
      <w:szCs w:val="24"/>
      <w:lang w:val="zh-CN" w:bidi="zh-CN"/>
    </w:rPr>
  </w:style>
  <w:style w:type="character" w:customStyle="1" w:styleId="124">
    <w:name w:val="标题 4 Char"/>
    <w:qFormat/>
    <w:uiPriority w:val="9"/>
    <w:rPr>
      <w:rFonts w:ascii="Cambria" w:hAnsi="Cambria" w:eastAsia="宋体" w:cs="Times New Roman"/>
      <w:b/>
      <w:bCs/>
      <w:kern w:val="0"/>
      <w:sz w:val="28"/>
      <w:szCs w:val="28"/>
      <w:lang w:val="zh-CN" w:bidi="zh-CN"/>
    </w:rPr>
  </w:style>
  <w:style w:type="character" w:customStyle="1" w:styleId="125">
    <w:name w:val="标题 3 Char"/>
    <w:qFormat/>
    <w:uiPriority w:val="1"/>
    <w:rPr>
      <w:rFonts w:ascii="Times New Roman" w:hAnsi="Times New Roman" w:eastAsia="宋体" w:cs="Times New Roman"/>
      <w:b/>
      <w:bCs/>
      <w:kern w:val="0"/>
      <w:sz w:val="32"/>
      <w:szCs w:val="32"/>
    </w:rPr>
  </w:style>
  <w:style w:type="character" w:customStyle="1" w:styleId="126">
    <w:name w:val="标题 5 Char"/>
    <w:qFormat/>
    <w:uiPriority w:val="99"/>
    <w:rPr>
      <w:rFonts w:ascii="Calibri" w:hAnsi="Calibri" w:eastAsia="宋体" w:cs="Times New Roman"/>
      <w:b/>
      <w:bCs/>
      <w:kern w:val="0"/>
      <w:sz w:val="28"/>
      <w:szCs w:val="28"/>
    </w:rPr>
  </w:style>
  <w:style w:type="character" w:customStyle="1" w:styleId="127">
    <w:name w:val="标题 6 Char"/>
    <w:qFormat/>
    <w:uiPriority w:val="99"/>
    <w:rPr>
      <w:rFonts w:ascii="Arial" w:hAnsi="Arial" w:eastAsia="黑体" w:cs="Times New Roman"/>
      <w:b/>
      <w:bCs/>
      <w:kern w:val="0"/>
      <w:sz w:val="24"/>
      <w:szCs w:val="24"/>
    </w:rPr>
  </w:style>
  <w:style w:type="character" w:customStyle="1" w:styleId="128">
    <w:name w:val="标题 7 Char"/>
    <w:qFormat/>
    <w:uiPriority w:val="99"/>
    <w:rPr>
      <w:rFonts w:ascii="Times New Roman" w:hAnsi="Times New Roman" w:eastAsia="宋体" w:cs="Times New Roman"/>
      <w:b/>
      <w:bCs/>
      <w:kern w:val="0"/>
      <w:sz w:val="24"/>
      <w:szCs w:val="24"/>
    </w:rPr>
  </w:style>
  <w:style w:type="character" w:customStyle="1" w:styleId="129">
    <w:name w:val="标题 8 Char"/>
    <w:qFormat/>
    <w:uiPriority w:val="99"/>
    <w:rPr>
      <w:rFonts w:ascii="Arial" w:hAnsi="Arial" w:eastAsia="黑体" w:cs="Times New Roman"/>
      <w:kern w:val="0"/>
      <w:sz w:val="24"/>
      <w:szCs w:val="24"/>
    </w:rPr>
  </w:style>
  <w:style w:type="character" w:customStyle="1" w:styleId="130">
    <w:name w:val="标题 9 Char"/>
    <w:qFormat/>
    <w:uiPriority w:val="99"/>
    <w:rPr>
      <w:rFonts w:ascii="Arial" w:hAnsi="Arial" w:eastAsia="黑体" w:cs="Times New Roman"/>
      <w:kern w:val="0"/>
      <w:sz w:val="20"/>
      <w:szCs w:val="21"/>
    </w:rPr>
  </w:style>
  <w:style w:type="character" w:customStyle="1" w:styleId="131">
    <w:name w:val="批注文字 Char2"/>
    <w:semiHidden/>
    <w:qFormat/>
    <w:uiPriority w:val="99"/>
    <w:rPr>
      <w:rFonts w:ascii="宋体" w:hAnsi="宋体" w:eastAsia="宋体" w:cs="宋体"/>
      <w:kern w:val="0"/>
      <w:sz w:val="22"/>
      <w:lang w:val="zh-CN" w:bidi="zh-CN"/>
    </w:rPr>
  </w:style>
  <w:style w:type="character" w:customStyle="1" w:styleId="132">
    <w:name w:val="脚注文本 Char"/>
    <w:semiHidden/>
    <w:qFormat/>
    <w:uiPriority w:val="99"/>
    <w:rPr>
      <w:rFonts w:ascii="宋体" w:hAnsi="宋体" w:cs="宋体"/>
      <w:sz w:val="18"/>
      <w:szCs w:val="18"/>
      <w:lang w:val="zh-CN" w:bidi="zh-CN"/>
    </w:rPr>
  </w:style>
  <w:style w:type="paragraph" w:customStyle="1" w:styleId="133">
    <w:name w:val="_Style 129"/>
    <w:basedOn w:val="17"/>
    <w:next w:val="34"/>
    <w:link w:val="134"/>
    <w:unhideWhenUsed/>
    <w:qFormat/>
    <w:uiPriority w:val="99"/>
    <w:pPr>
      <w:autoSpaceDE w:val="0"/>
      <w:autoSpaceDN w:val="0"/>
      <w:ind w:firstLine="420" w:firstLineChars="200"/>
      <w:jc w:val="left"/>
    </w:pPr>
    <w:rPr>
      <w:rFonts w:ascii="宋体" w:hAnsi="宋体" w:cs="宋体"/>
      <w:kern w:val="2"/>
      <w:sz w:val="22"/>
      <w:szCs w:val="22"/>
      <w:lang w:val="zh-CN" w:bidi="zh-CN"/>
    </w:rPr>
  </w:style>
  <w:style w:type="character" w:customStyle="1" w:styleId="134">
    <w:name w:val="正文文本首行缩进 2 字符"/>
    <w:link w:val="133"/>
    <w:semiHidden/>
    <w:qFormat/>
    <w:uiPriority w:val="99"/>
    <w:rPr>
      <w:rFonts w:ascii="宋体" w:hAnsi="宋体" w:eastAsia="宋体" w:cs="宋体"/>
      <w:sz w:val="22"/>
      <w:szCs w:val="22"/>
      <w:lang w:val="zh-CN" w:bidi="zh-CN"/>
    </w:rPr>
  </w:style>
  <w:style w:type="character" w:customStyle="1" w:styleId="135">
    <w:name w:val="正文首行缩进 2 字符"/>
    <w:basedOn w:val="59"/>
    <w:link w:val="34"/>
    <w:semiHidden/>
    <w:qFormat/>
    <w:uiPriority w:val="99"/>
    <w:rPr>
      <w:rFonts w:ascii="宋体" w:hAnsi="宋体" w:eastAsia="宋体" w:cs="宋体"/>
      <w:kern w:val="0"/>
      <w:sz w:val="22"/>
      <w:szCs w:val="24"/>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9748</Words>
  <Characters>10699</Characters>
  <Lines>325</Lines>
  <Paragraphs>91</Paragraphs>
  <TotalTime>10</TotalTime>
  <ScaleCrop>false</ScaleCrop>
  <LinksUpToDate>false</LinksUpToDate>
  <CharactersWithSpaces>10966</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2022-05-07T07:33:00Z</dcterms:created>
  <dc:creator>NTKO</dc:creator>
  <cp:lastModifiedBy>Administrator</cp:lastModifiedBy>
  <dcterms:modified xsi:type="dcterms:W3CDTF">2024-12-12T09:08:58Z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77FF95004AE041DF99F0C3158494A88E</vt:lpwstr>
  </property>
</Properties>
</file>